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6B0B1" w14:textId="77777777" w:rsidR="00CE70EC" w:rsidRPr="00CE70EC" w:rsidRDefault="00CE70EC" w:rsidP="00CE70EC">
      <w:pPr>
        <w:spacing w:after="100" w:line="276" w:lineRule="auto"/>
        <w:jc w:val="center"/>
        <w:rPr>
          <w:rFonts w:ascii="Arial" w:hAnsi="Arial" w:cs="Arial"/>
          <w:b/>
          <w:shd w:val="clear" w:color="auto" w:fill="FFFFFF"/>
          <w:lang w:val="hu-HU"/>
        </w:rPr>
      </w:pPr>
      <w:r w:rsidRPr="00CE70EC">
        <w:rPr>
          <w:rFonts w:ascii="Arial" w:hAnsi="Arial" w:cs="Arial"/>
          <w:b/>
          <w:shd w:val="clear" w:color="auto" w:fill="FFFFFF"/>
          <w:lang w:val="hu-HU"/>
        </w:rPr>
        <w:t>ROMÁNIA KÖZÖS AGRÁRPOLITIKA (KAP)</w:t>
      </w:r>
    </w:p>
    <w:p w14:paraId="5E72354B" w14:textId="23B7E633" w:rsidR="005A7358" w:rsidRPr="00CE70EC" w:rsidRDefault="00CE70EC" w:rsidP="00CE70EC">
      <w:pPr>
        <w:spacing w:after="100" w:line="276" w:lineRule="auto"/>
        <w:jc w:val="center"/>
        <w:rPr>
          <w:rFonts w:ascii="Arial" w:hAnsi="Arial" w:cs="Arial"/>
          <w:b/>
          <w:shd w:val="clear" w:color="auto" w:fill="FFFFFF"/>
          <w:lang w:val="hu-HU"/>
        </w:rPr>
      </w:pPr>
      <w:r w:rsidRPr="00CE70EC">
        <w:rPr>
          <w:rFonts w:ascii="Arial" w:hAnsi="Arial" w:cs="Arial"/>
          <w:b/>
          <w:shd w:val="clear" w:color="auto" w:fill="FFFFFF"/>
          <w:lang w:val="hu-HU"/>
        </w:rPr>
        <w:t>STRATÉGIAI TERVE 2023-2027</w:t>
      </w:r>
    </w:p>
    <w:p w14:paraId="78D4BA41" w14:textId="77777777" w:rsidR="001302C5" w:rsidRPr="00CE70EC" w:rsidRDefault="001302C5" w:rsidP="00CE70EC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val="hu-HU"/>
          <w14:ligatures w14:val="none"/>
        </w:rPr>
      </w:pPr>
    </w:p>
    <w:p w14:paraId="13FA51C4" w14:textId="08532411" w:rsidR="001302C5" w:rsidRPr="00CE70EC" w:rsidRDefault="001302C5" w:rsidP="00CE70EC">
      <w:pPr>
        <w:spacing w:after="100" w:line="276" w:lineRule="auto"/>
        <w:ind w:left="2880" w:hanging="2880"/>
        <w:jc w:val="both"/>
        <w:rPr>
          <w:rFonts w:ascii="Arial" w:eastAsia="Times New Roman" w:hAnsi="Arial" w:cs="Arial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A beavatkozás típusa: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ab/>
      </w:r>
      <w:r w:rsidR="00CE70EC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Invest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(73-74) – Beruházások, beleértve az öntözési beruházásokat is</w:t>
      </w:r>
    </w:p>
    <w:p w14:paraId="051F9350" w14:textId="54D10D09" w:rsidR="001302C5" w:rsidRPr="00CE70EC" w:rsidRDefault="001302C5" w:rsidP="00CE70EC">
      <w:pPr>
        <w:spacing w:after="10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Intervenciós kód: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ab/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ab/>
        <w:t>DR-23</w:t>
      </w:r>
    </w:p>
    <w:p w14:paraId="0C44E54D" w14:textId="4E130A8A" w:rsidR="00D0403A" w:rsidRPr="00CE70EC" w:rsidRDefault="001302C5" w:rsidP="00CE70EC">
      <w:pPr>
        <w:spacing w:after="0" w:line="276" w:lineRule="auto"/>
        <w:ind w:left="2880" w:hanging="2880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A beavatkozás neve:</w:t>
      </w: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ab/>
      </w:r>
      <w:r w:rsidR="00CE70EC" w:rsidRPr="00CE70EC">
        <w:rPr>
          <w:rFonts w:ascii="Arial" w:hAnsi="Arial" w:cs="Arial"/>
          <w:b/>
          <w:bCs/>
          <w:sz w:val="20"/>
          <w:szCs w:val="20"/>
          <w:lang w:val="hu-HU"/>
        </w:rPr>
        <w:t>Beruházások a mezőgazdasági termékeknek az Európai Unió működéséről szóló szerződés 1. mellékletében fel nem sorolt élelmiszerekké és feldolgozott termékekké történő alakítására és forgalmazására</w:t>
      </w:r>
    </w:p>
    <w:p w14:paraId="7A4607CE" w14:textId="77777777" w:rsidR="009A2175" w:rsidRPr="00CE70EC" w:rsidRDefault="009A2175" w:rsidP="00CE70EC">
      <w:pPr>
        <w:spacing w:after="0" w:line="276" w:lineRule="auto"/>
        <w:ind w:left="2880" w:hanging="2880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</w:p>
    <w:p w14:paraId="15534381" w14:textId="19A5B01E" w:rsidR="002A4D70" w:rsidRPr="00CE70EC" w:rsidRDefault="00CE70EC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autoSpaceDE w:val="0"/>
        <w:autoSpaceDN w:val="0"/>
        <w:adjustRightInd w:val="0"/>
        <w:spacing w:after="100"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A </w:t>
      </w:r>
      <w:r w:rsidRPr="00CE70EC">
        <w:rPr>
          <w:rFonts w:ascii="Arial" w:hAnsi="Arial" w:cs="Arial"/>
          <w:b/>
          <w:bCs/>
          <w:sz w:val="20"/>
          <w:szCs w:val="20"/>
          <w:lang w:val="hu-HU"/>
        </w:rPr>
        <w:t>pályázat leadásának várható időpontja</w:t>
      </w:r>
    </w:p>
    <w:p w14:paraId="1A1E752F" w14:textId="0E54B22B" w:rsidR="002A4D70" w:rsidRPr="00CE70EC" w:rsidRDefault="00541CA1" w:rsidP="00CE70EC">
      <w:pPr>
        <w:autoSpaceDE w:val="0"/>
        <w:autoSpaceDN w:val="0"/>
        <w:adjustRightInd w:val="0"/>
        <w:spacing w:after="100" w:line="276" w:lineRule="auto"/>
        <w:ind w:left="-76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2025. szeptember – október</w:t>
      </w:r>
    </w:p>
    <w:p w14:paraId="360047FB" w14:textId="16A0A8EB" w:rsidR="007E3D34" w:rsidRPr="00CE70EC" w:rsidRDefault="00CE70EC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autoSpaceDE w:val="0"/>
        <w:autoSpaceDN w:val="0"/>
        <w:adjustRightInd w:val="0"/>
        <w:spacing w:after="100"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A támogatás keretösszege</w:t>
      </w:r>
    </w:p>
    <w:p w14:paraId="69B5C10F" w14:textId="42E1D927" w:rsidR="00202A91" w:rsidRPr="00CE70EC" w:rsidRDefault="00202A91" w:rsidP="00CE70EC">
      <w:pPr>
        <w:autoSpaceDE w:val="0"/>
        <w:autoSpaceDN w:val="0"/>
        <w:adjustRightInd w:val="0"/>
        <w:spacing w:after="100" w:line="276" w:lineRule="auto"/>
        <w:ind w:left="-76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150</w:t>
      </w:r>
      <w:r w:rsidR="00CE70EC" w:rsidRPr="00CE70EC">
        <w:rPr>
          <w:rFonts w:ascii="Arial" w:hAnsi="Arial" w:cs="Arial"/>
          <w:sz w:val="20"/>
          <w:szCs w:val="20"/>
          <w:lang w:val="hu-HU"/>
        </w:rPr>
        <w:t>.</w:t>
      </w:r>
      <w:r w:rsidRPr="00CE70EC">
        <w:rPr>
          <w:rFonts w:ascii="Arial" w:hAnsi="Arial" w:cs="Arial"/>
          <w:sz w:val="20"/>
          <w:szCs w:val="20"/>
          <w:lang w:val="hu-HU"/>
        </w:rPr>
        <w:t>000 000,00 EUR</w:t>
      </w:r>
    </w:p>
    <w:p w14:paraId="0AFE342E" w14:textId="1AA73EF8" w:rsidR="00CD44E5" w:rsidRPr="00CE70EC" w:rsidRDefault="00CE70EC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autoSpaceDE w:val="0"/>
        <w:autoSpaceDN w:val="0"/>
        <w:adjustRightInd w:val="0"/>
        <w:spacing w:after="100" w:line="276" w:lineRule="auto"/>
        <w:ind w:left="284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Pályázatra jogosultak</w:t>
      </w:r>
    </w:p>
    <w:p w14:paraId="65FBC6D2" w14:textId="37FCEA98" w:rsidR="00CE70EC" w:rsidRPr="00CE70EC" w:rsidRDefault="00CE70EC" w:rsidP="00CE70E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proofErr w:type="spellStart"/>
      <w:r>
        <w:rPr>
          <w:rFonts w:ascii="Arial" w:hAnsi="Arial" w:cs="Arial"/>
          <w:sz w:val="20"/>
          <w:szCs w:val="20"/>
          <w:lang w:val="hu-HU"/>
        </w:rPr>
        <w:t>Mikro</w:t>
      </w:r>
      <w:proofErr w:type="spellEnd"/>
      <w:r>
        <w:rPr>
          <w:rFonts w:ascii="Arial" w:hAnsi="Arial" w:cs="Arial"/>
          <w:sz w:val="20"/>
          <w:szCs w:val="20"/>
          <w:lang w:val="hu-HU"/>
        </w:rPr>
        <w:t>-, k</w:t>
      </w:r>
      <w:r w:rsidRPr="00CE70EC">
        <w:rPr>
          <w:rFonts w:ascii="Arial" w:hAnsi="Arial" w:cs="Arial"/>
          <w:sz w:val="20"/>
          <w:szCs w:val="20"/>
          <w:lang w:val="hu-HU"/>
        </w:rPr>
        <w:t>is – és középvállalkozások, nagyvállalatok (</w:t>
      </w:r>
      <w:r w:rsidRPr="00CE70EC">
        <w:rPr>
          <w:rFonts w:ascii="Arial" w:hAnsi="Arial" w:cs="Arial"/>
          <w:b/>
          <w:bCs/>
          <w:sz w:val="20"/>
          <w:szCs w:val="20"/>
          <w:lang w:val="hu-HU"/>
        </w:rPr>
        <w:t>P.F.A., Î.I., Î.F., S.R.L.</w:t>
      </w:r>
      <w:r w:rsidRPr="00CE70EC">
        <w:rPr>
          <w:rFonts w:ascii="Arial" w:hAnsi="Arial" w:cs="Arial"/>
          <w:sz w:val="20"/>
          <w:szCs w:val="20"/>
          <w:lang w:val="hu-HU"/>
        </w:rPr>
        <w:t>, S.A., S.N.C., S.C.S., S.C.A.);</w:t>
      </w:r>
    </w:p>
    <w:p w14:paraId="1131B71F" w14:textId="77777777" w:rsidR="00CE70EC" w:rsidRPr="00CE70EC" w:rsidRDefault="00CE70EC" w:rsidP="00CE70E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 xml:space="preserve">Szövetkezetek, </w:t>
      </w:r>
      <w:r w:rsidRPr="00CE70EC">
        <w:rPr>
          <w:rFonts w:ascii="Arial" w:hAnsi="Arial" w:cs="Arial"/>
          <w:b/>
          <w:bCs/>
          <w:sz w:val="20"/>
          <w:szCs w:val="20"/>
          <w:lang w:val="hu-HU"/>
        </w:rPr>
        <w:t>mezőgazdasági szövetkezetek;</w:t>
      </w:r>
    </w:p>
    <w:p w14:paraId="021DBB9C" w14:textId="79677649" w:rsidR="00CE70EC" w:rsidRPr="00CE70EC" w:rsidRDefault="00CE70EC" w:rsidP="00CE70EC">
      <w:pPr>
        <w:pStyle w:val="ListParagraph"/>
        <w:numPr>
          <w:ilvl w:val="0"/>
          <w:numId w:val="53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Termelői csoportok.</w:t>
      </w:r>
    </w:p>
    <w:p w14:paraId="49B30386" w14:textId="77777777" w:rsidR="00CE70EC" w:rsidRPr="00CE70EC" w:rsidRDefault="00CE70EC" w:rsidP="00CE70EC">
      <w:p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noProof/>
          <w:sz w:val="20"/>
          <w:szCs w:val="20"/>
          <w:lang w:val="hu-HU"/>
        </w:rPr>
        <w:drawing>
          <wp:inline distT="0" distB="0" distL="0" distR="0" wp14:anchorId="739AF9D4" wp14:editId="1B6F3C2B">
            <wp:extent cx="213360" cy="213360"/>
            <wp:effectExtent l="0" t="0" r="0" b="0"/>
            <wp:docPr id="469070186" name="Graphic 1" descr="Felkiáltójel tömör kitöltéss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70186" name="Graphic 469070186" descr="Exclamation mark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336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70EC">
        <w:rPr>
          <w:rFonts w:ascii="Arial" w:hAnsi="Arial" w:cs="Arial"/>
          <w:sz w:val="20"/>
          <w:szCs w:val="20"/>
          <w:lang w:val="hu-HU"/>
        </w:rPr>
        <w:t>Egy pályázó csak egy DR-23-as projektet nyújthat be, függetlenül attól, hogy kezdő beruházásra – vagy modernizálásra irányuló projekt.</w:t>
      </w:r>
    </w:p>
    <w:p w14:paraId="71D7C987" w14:textId="7CF26D87" w:rsidR="00C70AF7" w:rsidRPr="00CE70EC" w:rsidRDefault="00C70AF7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autoSpaceDE w:val="0"/>
        <w:autoSpaceDN w:val="0"/>
        <w:adjustRightInd w:val="0"/>
        <w:spacing w:after="100" w:line="276" w:lineRule="auto"/>
        <w:ind w:left="283" w:hanging="357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A vissza nem térítendő </w:t>
      </w:r>
      <w:r w:rsidR="00CE70EC" w:rsidRPr="00CE70EC">
        <w:rPr>
          <w:rFonts w:ascii="Arial" w:hAnsi="Arial" w:cs="Arial"/>
          <w:b/>
          <w:bCs/>
          <w:sz w:val="20"/>
          <w:szCs w:val="20"/>
          <w:lang w:val="hu-HU"/>
        </w:rPr>
        <w:t>támogatás</w:t>
      </w:r>
      <w:r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 összege (támogatási intenzitás)</w:t>
      </w:r>
    </w:p>
    <w:p w14:paraId="4EFA4224" w14:textId="6562B4E6" w:rsidR="00D4642C" w:rsidRPr="00CE70EC" w:rsidRDefault="004157D3" w:rsidP="00CE70E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proofErr w:type="spellStart"/>
      <w:r w:rsidRPr="00CE70EC">
        <w:rPr>
          <w:rFonts w:ascii="Arial" w:hAnsi="Arial" w:cs="Arial"/>
          <w:b/>
          <w:bCs/>
          <w:sz w:val="20"/>
          <w:szCs w:val="20"/>
          <w:lang w:val="hu-HU"/>
        </w:rPr>
        <w:t>max</w:t>
      </w:r>
      <w:proofErr w:type="spellEnd"/>
      <w:r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. 10 millió </w:t>
      </w:r>
      <w:r w:rsidR="00CE70EC" w:rsidRPr="00CE70EC">
        <w:rPr>
          <w:rFonts w:ascii="Arial" w:hAnsi="Arial" w:cs="Arial"/>
          <w:b/>
          <w:bCs/>
          <w:sz w:val="20"/>
          <w:szCs w:val="20"/>
          <w:lang w:val="hu-HU"/>
        </w:rPr>
        <w:t>EUR</w:t>
      </w:r>
      <w:r w:rsidRPr="00CE70EC">
        <w:rPr>
          <w:rFonts w:ascii="Arial" w:hAnsi="Arial" w:cs="Arial"/>
          <w:b/>
          <w:bCs/>
          <w:sz w:val="20"/>
          <w:szCs w:val="20"/>
          <w:lang w:val="hu-HU"/>
        </w:rPr>
        <w:t>/projekt</w:t>
      </w:r>
      <w:r w:rsidR="00CE70EC" w:rsidRPr="00CE70EC">
        <w:rPr>
          <w:rFonts w:ascii="Arial" w:hAnsi="Arial" w:cs="Arial"/>
          <w:sz w:val="20"/>
          <w:szCs w:val="20"/>
          <w:lang w:val="hu-HU"/>
        </w:rPr>
        <w:t xml:space="preserve"> </w:t>
      </w:r>
      <w:r w:rsidR="00CE70EC" w:rsidRPr="00CE70EC">
        <w:rPr>
          <w:rFonts w:ascii="Arial" w:hAnsi="Arial" w:cs="Arial"/>
          <w:sz w:val="20"/>
          <w:szCs w:val="20"/>
          <w:lang w:val="hu-HU"/>
        </w:rPr>
        <w:t>a pékipari ágazatban induló beruházási projektek esetében (CAEN 1071, 1072, 1085)</w:t>
      </w:r>
    </w:p>
    <w:p w14:paraId="2A41F547" w14:textId="2EF8EE23" w:rsidR="00D4642C" w:rsidRPr="00CE70EC" w:rsidRDefault="00D4642C" w:rsidP="00CE70EC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proofErr w:type="spellStart"/>
      <w:r w:rsidRPr="00CE70EC">
        <w:rPr>
          <w:rFonts w:ascii="Arial" w:hAnsi="Arial" w:cs="Arial"/>
          <w:b/>
          <w:bCs/>
          <w:sz w:val="20"/>
          <w:szCs w:val="20"/>
          <w:lang w:val="hu-HU"/>
        </w:rPr>
        <w:t>max</w:t>
      </w:r>
      <w:proofErr w:type="spellEnd"/>
      <w:r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. 3 millió </w:t>
      </w:r>
      <w:r w:rsidR="00CE70EC" w:rsidRPr="00CE70EC">
        <w:rPr>
          <w:rFonts w:ascii="Arial" w:hAnsi="Arial" w:cs="Arial"/>
          <w:b/>
          <w:bCs/>
          <w:sz w:val="20"/>
          <w:szCs w:val="20"/>
          <w:lang w:val="hu-HU"/>
        </w:rPr>
        <w:t>EUR</w:t>
      </w:r>
      <w:r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/projekt </w:t>
      </w:r>
      <w:r w:rsidR="00CE70EC" w:rsidRPr="00CE70EC">
        <w:rPr>
          <w:rFonts w:ascii="Arial" w:hAnsi="Arial" w:cs="Arial"/>
          <w:b/>
          <w:bCs/>
          <w:sz w:val="20"/>
          <w:szCs w:val="20"/>
          <w:lang w:val="hu-HU"/>
        </w:rPr>
        <w:t>más</w:t>
      </w:r>
      <w:r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 típusú beruházások esetében</w:t>
      </w:r>
    </w:p>
    <w:p w14:paraId="2D896D4F" w14:textId="3F7C3A06" w:rsidR="00C25D8A" w:rsidRPr="00CE70EC" w:rsidRDefault="00D4642C" w:rsidP="00CE70EC">
      <w:pPr>
        <w:autoSpaceDE w:val="0"/>
        <w:autoSpaceDN w:val="0"/>
        <w:adjustRightInd w:val="0"/>
        <w:spacing w:after="100" w:line="276" w:lineRule="auto"/>
        <w:ind w:left="-76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támogatás maximális intenzitása:</w:t>
      </w:r>
    </w:p>
    <w:tbl>
      <w:tblPr>
        <w:tblStyle w:val="PlainTable4"/>
        <w:tblW w:w="0" w:type="auto"/>
        <w:tblInd w:w="567" w:type="dxa"/>
        <w:tblLook w:val="04A0" w:firstRow="1" w:lastRow="0" w:firstColumn="1" w:lastColumn="0" w:noHBand="0" w:noVBand="1"/>
      </w:tblPr>
      <w:tblGrid>
        <w:gridCol w:w="1701"/>
        <w:gridCol w:w="1843"/>
        <w:gridCol w:w="2126"/>
        <w:gridCol w:w="2575"/>
      </w:tblGrid>
      <w:tr w:rsidR="00D4642C" w:rsidRPr="00CE70EC" w14:paraId="41AD86B5" w14:textId="77777777" w:rsidTr="00CE70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5" w:type="dxa"/>
            <w:gridSpan w:val="4"/>
          </w:tcPr>
          <w:p w14:paraId="380562D6" w14:textId="62C1DD6C" w:rsidR="00D4642C" w:rsidRPr="00CE70EC" w:rsidRDefault="00D4642C" w:rsidP="00CE70E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Kö</w:t>
            </w:r>
            <w:r w:rsidR="00CE70EC" w:rsidRPr="00CE70EC">
              <w:rPr>
                <w:rFonts w:ascii="Arial" w:hAnsi="Arial" w:cs="Arial"/>
                <w:sz w:val="20"/>
                <w:szCs w:val="20"/>
                <w:lang w:val="hu-HU"/>
              </w:rPr>
              <w:t>zponti</w:t>
            </w: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 xml:space="preserve"> régió</w:t>
            </w:r>
          </w:p>
        </w:tc>
      </w:tr>
      <w:tr w:rsidR="00CE70EC" w:rsidRPr="00CE70EC" w14:paraId="3ACDE3AA" w14:textId="77777777" w:rsidTr="00CE7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60D770BA" w14:textId="16C646E8" w:rsidR="00677351" w:rsidRPr="00CE70EC" w:rsidRDefault="00CE70EC" w:rsidP="00CE70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Megye</w:t>
            </w:r>
          </w:p>
        </w:tc>
        <w:tc>
          <w:tcPr>
            <w:tcW w:w="1843" w:type="dxa"/>
            <w:vAlign w:val="center"/>
          </w:tcPr>
          <w:p w14:paraId="440C69C9" w14:textId="72E7C779" w:rsidR="00677351" w:rsidRPr="00CE70EC" w:rsidRDefault="00CE70E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Nagyvállalatok esetében</w:t>
            </w:r>
          </w:p>
        </w:tc>
        <w:tc>
          <w:tcPr>
            <w:tcW w:w="2126" w:type="dxa"/>
            <w:vAlign w:val="center"/>
          </w:tcPr>
          <w:p w14:paraId="2B43122C" w14:textId="42F4A862" w:rsidR="00677351" w:rsidRPr="00CE70EC" w:rsidRDefault="00CE70E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Középvállalkozások esetében</w:t>
            </w:r>
          </w:p>
        </w:tc>
        <w:tc>
          <w:tcPr>
            <w:tcW w:w="2575" w:type="dxa"/>
            <w:vAlign w:val="center"/>
          </w:tcPr>
          <w:p w14:paraId="471CE6C5" w14:textId="439730B4" w:rsidR="00677351" w:rsidRPr="00CE70EC" w:rsidRDefault="00CE70E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Kisvállalkozások esetében, beleértve a mikr</w:t>
            </w: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ová</w:t>
            </w: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llalkozásokat is</w:t>
            </w:r>
          </w:p>
        </w:tc>
      </w:tr>
      <w:tr w:rsidR="00CE70EC" w:rsidRPr="00CE70EC" w14:paraId="6AF425DA" w14:textId="77777777" w:rsidTr="00CE70EC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0BFCA43A" w14:textId="0130DF37" w:rsidR="00D4642C" w:rsidRPr="00CE70EC" w:rsidRDefault="00CE70EC" w:rsidP="00CE70EC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 w:val="0"/>
                <w:bCs w:val="0"/>
                <w:sz w:val="20"/>
                <w:szCs w:val="20"/>
                <w:lang w:val="hu-HU"/>
              </w:rPr>
              <w:t>Fehér</w:t>
            </w:r>
          </w:p>
        </w:tc>
        <w:tc>
          <w:tcPr>
            <w:tcW w:w="1843" w:type="dxa"/>
            <w:vAlign w:val="center"/>
          </w:tcPr>
          <w:p w14:paraId="7634F28C" w14:textId="40FD0893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50%</w:t>
            </w:r>
          </w:p>
        </w:tc>
        <w:tc>
          <w:tcPr>
            <w:tcW w:w="2126" w:type="dxa"/>
            <w:vAlign w:val="center"/>
          </w:tcPr>
          <w:p w14:paraId="6849EEE0" w14:textId="77777777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60%</w:t>
            </w:r>
          </w:p>
        </w:tc>
        <w:tc>
          <w:tcPr>
            <w:tcW w:w="2575" w:type="dxa"/>
            <w:vAlign w:val="center"/>
          </w:tcPr>
          <w:p w14:paraId="775DF7B1" w14:textId="77777777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65%</w:t>
            </w:r>
          </w:p>
        </w:tc>
      </w:tr>
      <w:tr w:rsidR="00CE70EC" w:rsidRPr="00CE70EC" w14:paraId="156FA209" w14:textId="77777777" w:rsidTr="00CE7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14BE5653" w14:textId="00FEBE57" w:rsidR="00D4642C" w:rsidRPr="00CE70EC" w:rsidRDefault="00D4642C" w:rsidP="00CE70EC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 w:val="0"/>
                <w:bCs w:val="0"/>
                <w:sz w:val="20"/>
                <w:szCs w:val="20"/>
                <w:lang w:val="hu-HU"/>
              </w:rPr>
              <w:t>Brassó</w:t>
            </w:r>
          </w:p>
        </w:tc>
        <w:tc>
          <w:tcPr>
            <w:tcW w:w="1843" w:type="dxa"/>
            <w:vAlign w:val="center"/>
          </w:tcPr>
          <w:p w14:paraId="650263F3" w14:textId="463EC44C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40%</w:t>
            </w:r>
          </w:p>
        </w:tc>
        <w:tc>
          <w:tcPr>
            <w:tcW w:w="2126" w:type="dxa"/>
            <w:vAlign w:val="center"/>
          </w:tcPr>
          <w:p w14:paraId="27C14B27" w14:textId="77777777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50%</w:t>
            </w:r>
          </w:p>
        </w:tc>
        <w:tc>
          <w:tcPr>
            <w:tcW w:w="2575" w:type="dxa"/>
            <w:vAlign w:val="center"/>
          </w:tcPr>
          <w:p w14:paraId="3D6CE3E5" w14:textId="77777777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60%</w:t>
            </w:r>
          </w:p>
        </w:tc>
      </w:tr>
      <w:tr w:rsidR="00CE70EC" w:rsidRPr="00CE70EC" w14:paraId="08D4AB3C" w14:textId="77777777" w:rsidTr="00CE70EC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2112AD28" w14:textId="47D8CE05" w:rsidR="00D4642C" w:rsidRPr="00CE70EC" w:rsidRDefault="00D4642C" w:rsidP="00CE70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proofErr w:type="spellStart"/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Kovászna</w:t>
            </w:r>
            <w:proofErr w:type="spellEnd"/>
          </w:p>
        </w:tc>
        <w:tc>
          <w:tcPr>
            <w:tcW w:w="1843" w:type="dxa"/>
            <w:vAlign w:val="center"/>
          </w:tcPr>
          <w:p w14:paraId="6489A5D4" w14:textId="70FD69BA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40%</w:t>
            </w:r>
          </w:p>
        </w:tc>
        <w:tc>
          <w:tcPr>
            <w:tcW w:w="2126" w:type="dxa"/>
            <w:vAlign w:val="center"/>
          </w:tcPr>
          <w:p w14:paraId="0FABAF1A" w14:textId="77777777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50%</w:t>
            </w:r>
          </w:p>
        </w:tc>
        <w:tc>
          <w:tcPr>
            <w:tcW w:w="2575" w:type="dxa"/>
            <w:vAlign w:val="center"/>
          </w:tcPr>
          <w:p w14:paraId="4869404D" w14:textId="77777777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60%</w:t>
            </w:r>
          </w:p>
        </w:tc>
      </w:tr>
      <w:tr w:rsidR="00CE70EC" w:rsidRPr="00CE70EC" w14:paraId="41C656D9" w14:textId="77777777" w:rsidTr="00CE7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2F24AE5D" w14:textId="63647B6B" w:rsidR="00D4642C" w:rsidRPr="00CE70EC" w:rsidRDefault="00D4642C" w:rsidP="00CE70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Hargita</w:t>
            </w:r>
          </w:p>
        </w:tc>
        <w:tc>
          <w:tcPr>
            <w:tcW w:w="1843" w:type="dxa"/>
            <w:vAlign w:val="center"/>
          </w:tcPr>
          <w:p w14:paraId="2D41F2BD" w14:textId="44CE07C5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40%</w:t>
            </w:r>
          </w:p>
        </w:tc>
        <w:tc>
          <w:tcPr>
            <w:tcW w:w="2126" w:type="dxa"/>
            <w:vAlign w:val="center"/>
          </w:tcPr>
          <w:p w14:paraId="560A050A" w14:textId="77777777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50%</w:t>
            </w:r>
          </w:p>
        </w:tc>
        <w:tc>
          <w:tcPr>
            <w:tcW w:w="2575" w:type="dxa"/>
            <w:vAlign w:val="center"/>
          </w:tcPr>
          <w:p w14:paraId="59703C4E" w14:textId="77777777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60%</w:t>
            </w:r>
          </w:p>
        </w:tc>
      </w:tr>
      <w:tr w:rsidR="00CE70EC" w:rsidRPr="00CE70EC" w14:paraId="2830CE7A" w14:textId="77777777" w:rsidTr="00CE70EC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753A2838" w14:textId="4227BCF8" w:rsidR="00D4642C" w:rsidRPr="00CE70EC" w:rsidRDefault="00D4642C" w:rsidP="00CE70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Maros</w:t>
            </w:r>
          </w:p>
        </w:tc>
        <w:tc>
          <w:tcPr>
            <w:tcW w:w="1843" w:type="dxa"/>
            <w:vAlign w:val="center"/>
          </w:tcPr>
          <w:p w14:paraId="5325E474" w14:textId="2F0CEC81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50%</w:t>
            </w:r>
          </w:p>
        </w:tc>
        <w:tc>
          <w:tcPr>
            <w:tcW w:w="2126" w:type="dxa"/>
            <w:vAlign w:val="center"/>
          </w:tcPr>
          <w:p w14:paraId="6FBA1692" w14:textId="77777777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60%</w:t>
            </w:r>
          </w:p>
        </w:tc>
        <w:tc>
          <w:tcPr>
            <w:tcW w:w="2575" w:type="dxa"/>
            <w:vAlign w:val="center"/>
          </w:tcPr>
          <w:p w14:paraId="5100D679" w14:textId="77777777" w:rsidR="00D4642C" w:rsidRPr="00CE70EC" w:rsidRDefault="00D4642C" w:rsidP="00CE70E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/>
                <w:bCs/>
                <w:sz w:val="20"/>
                <w:szCs w:val="20"/>
                <w:lang w:val="hu-HU"/>
              </w:rPr>
              <w:t>65%</w:t>
            </w:r>
          </w:p>
        </w:tc>
      </w:tr>
      <w:tr w:rsidR="00CE70EC" w:rsidRPr="00CE70EC" w14:paraId="7C326812" w14:textId="77777777" w:rsidTr="00CE70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5C6033DE" w14:textId="5D1EAE3A" w:rsidR="00D4642C" w:rsidRPr="00CE70EC" w:rsidRDefault="00CE70EC" w:rsidP="00CE70EC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b w:val="0"/>
                <w:bCs w:val="0"/>
                <w:sz w:val="20"/>
                <w:szCs w:val="20"/>
                <w:lang w:val="hu-HU"/>
              </w:rPr>
              <w:t>Szeben</w:t>
            </w:r>
          </w:p>
        </w:tc>
        <w:tc>
          <w:tcPr>
            <w:tcW w:w="1843" w:type="dxa"/>
            <w:vAlign w:val="center"/>
          </w:tcPr>
          <w:p w14:paraId="71B2B49F" w14:textId="1DD9E5D6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40%</w:t>
            </w:r>
          </w:p>
        </w:tc>
        <w:tc>
          <w:tcPr>
            <w:tcW w:w="2126" w:type="dxa"/>
            <w:vAlign w:val="center"/>
          </w:tcPr>
          <w:p w14:paraId="6FC823F5" w14:textId="77777777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50%</w:t>
            </w:r>
          </w:p>
        </w:tc>
        <w:tc>
          <w:tcPr>
            <w:tcW w:w="2575" w:type="dxa"/>
            <w:vAlign w:val="center"/>
          </w:tcPr>
          <w:p w14:paraId="6C1852EE" w14:textId="77777777" w:rsidR="00D4642C" w:rsidRPr="00CE70EC" w:rsidRDefault="00D4642C" w:rsidP="00CE70E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E70EC">
              <w:rPr>
                <w:rFonts w:ascii="Arial" w:hAnsi="Arial" w:cs="Arial"/>
                <w:sz w:val="20"/>
                <w:szCs w:val="20"/>
                <w:lang w:val="hu-HU"/>
              </w:rPr>
              <w:t>60%</w:t>
            </w:r>
          </w:p>
        </w:tc>
      </w:tr>
    </w:tbl>
    <w:p w14:paraId="78820553" w14:textId="77777777" w:rsidR="004128E9" w:rsidRPr="00CE70EC" w:rsidRDefault="004128E9" w:rsidP="00CE70EC">
      <w:pPr>
        <w:pStyle w:val="ListParagraph"/>
        <w:autoSpaceDE w:val="0"/>
        <w:autoSpaceDN w:val="0"/>
        <w:adjustRightInd w:val="0"/>
        <w:spacing w:after="100" w:line="276" w:lineRule="auto"/>
        <w:ind w:left="644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</w:p>
    <w:p w14:paraId="0C5DA546" w14:textId="4E0F9B6A" w:rsidR="00CE70EC" w:rsidRPr="00CE70EC" w:rsidRDefault="00CE70EC" w:rsidP="00CE70EC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A </w:t>
      </w:r>
      <w:proofErr w:type="spellStart"/>
      <w:r w:rsidRPr="00CE70EC">
        <w:rPr>
          <w:rFonts w:ascii="Arial" w:hAnsi="Arial" w:cs="Arial"/>
          <w:b/>
          <w:bCs/>
          <w:i/>
          <w:iCs/>
          <w:sz w:val="20"/>
          <w:szCs w:val="20"/>
          <w:lang w:val="hu-HU"/>
        </w:rPr>
        <w:t>mikrovállalkozások</w:t>
      </w:r>
      <w:proofErr w:type="spellEnd"/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olyan vállalkozások,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amelyek 10 főnél kevesebb személyt foglalkoztatnak,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és amelyek éves forgalma vagy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éves mérlegfőösszege nem haladja meg a 2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millió eurót.</w:t>
      </w:r>
    </w:p>
    <w:p w14:paraId="68EA4B46" w14:textId="77777777" w:rsidR="00CE70EC" w:rsidRPr="00CE70EC" w:rsidRDefault="00CE70EC" w:rsidP="00CE70EC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A </w:t>
      </w:r>
      <w:r w:rsidRPr="00CE70EC">
        <w:rPr>
          <w:rFonts w:ascii="Arial" w:hAnsi="Arial" w:cs="Arial"/>
          <w:b/>
          <w:bCs/>
          <w:i/>
          <w:iCs/>
          <w:sz w:val="20"/>
          <w:szCs w:val="20"/>
          <w:lang w:val="hu-HU"/>
        </w:rPr>
        <w:t xml:space="preserve">kisvállalkozások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olyan vállalkozások,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amelyek 50 főnél kevesebb személyt foglalkoztatnak,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és amelyek éves forgalma vagy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éves mérlegfőösszege nem haladja meg a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10 millió eurót.</w:t>
      </w:r>
    </w:p>
    <w:p w14:paraId="4FEEAC8C" w14:textId="77777777" w:rsidR="00CE70EC" w:rsidRPr="00CE70EC" w:rsidRDefault="00CE70EC" w:rsidP="00CE70EC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  <w:r w:rsidRPr="00CE70EC">
        <w:rPr>
          <w:rFonts w:ascii="Arial" w:hAnsi="Arial" w:cs="Arial"/>
          <w:i/>
          <w:iCs/>
          <w:sz w:val="20"/>
          <w:szCs w:val="20"/>
          <w:lang w:val="hu-HU"/>
        </w:rPr>
        <w:lastRenderedPageBreak/>
        <w:t xml:space="preserve">A </w:t>
      </w:r>
      <w:r w:rsidRPr="00CE70EC">
        <w:rPr>
          <w:rFonts w:ascii="Arial" w:hAnsi="Arial" w:cs="Arial"/>
          <w:b/>
          <w:bCs/>
          <w:i/>
          <w:iCs/>
          <w:sz w:val="20"/>
          <w:szCs w:val="20"/>
          <w:lang w:val="hu-HU"/>
        </w:rPr>
        <w:t>középvállalkozások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olyan vállalkozások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,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amelyek 250 főnél kevesebb személyt foglalkoztatnak,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és amelyek éves forgalma nem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haladja meg az 50 millió eurót, vagy éves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mérlegfőösszege nem haladja meg a 43 millió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eurót.</w:t>
      </w:r>
    </w:p>
    <w:p w14:paraId="7CA900F4" w14:textId="1798983C" w:rsidR="00D4642C" w:rsidRPr="00CE70EC" w:rsidRDefault="004128E9" w:rsidP="00CE70EC">
      <w:pPr>
        <w:pStyle w:val="ListParagraph"/>
        <w:numPr>
          <w:ilvl w:val="0"/>
          <w:numId w:val="51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i/>
          <w:iCs/>
          <w:sz w:val="20"/>
          <w:szCs w:val="20"/>
          <w:lang w:val="hu-HU"/>
        </w:rPr>
        <w:t>Nagyvállalkozás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 xml:space="preserve"> – az a vállalkozás, amely nem felel meg a </w:t>
      </w:r>
      <w:r w:rsidR="00CE70EC">
        <w:rPr>
          <w:rFonts w:ascii="Arial" w:hAnsi="Arial" w:cs="Arial"/>
          <w:i/>
          <w:iCs/>
          <w:sz w:val="20"/>
          <w:szCs w:val="20"/>
          <w:lang w:val="hu-HU"/>
        </w:rPr>
        <w:t>KKV</w:t>
      </w:r>
      <w:r w:rsidRPr="00CE70EC">
        <w:rPr>
          <w:rFonts w:ascii="Arial" w:hAnsi="Arial" w:cs="Arial"/>
          <w:i/>
          <w:iCs/>
          <w:sz w:val="20"/>
          <w:szCs w:val="20"/>
          <w:lang w:val="hu-HU"/>
        </w:rPr>
        <w:t>-nak minősülő kritériumoknak.</w:t>
      </w:r>
    </w:p>
    <w:p w14:paraId="3F71A061" w14:textId="77777777" w:rsidR="004128E9" w:rsidRPr="00CE70EC" w:rsidRDefault="004128E9" w:rsidP="00CE70EC">
      <w:pPr>
        <w:pStyle w:val="ListParagraph"/>
        <w:autoSpaceDE w:val="0"/>
        <w:autoSpaceDN w:val="0"/>
        <w:adjustRightInd w:val="0"/>
        <w:spacing w:after="100" w:line="276" w:lineRule="auto"/>
        <w:ind w:left="644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</w:p>
    <w:p w14:paraId="256C3A5C" w14:textId="77777777" w:rsidR="00CE70EC" w:rsidRPr="00CE70EC" w:rsidRDefault="00CE70EC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autoSpaceDE w:val="0"/>
        <w:autoSpaceDN w:val="0"/>
        <w:adjustRightInd w:val="0"/>
        <w:spacing w:after="100" w:line="276" w:lineRule="auto"/>
        <w:ind w:left="283" w:hanging="357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Jogosultsági</w:t>
      </w:r>
      <w:r w:rsidR="00817338" w:rsidRPr="00CE70EC">
        <w:rPr>
          <w:rFonts w:ascii="Arial" w:hAnsi="Arial" w:cs="Arial"/>
          <w:b/>
          <w:bCs/>
          <w:sz w:val="20"/>
          <w:szCs w:val="20"/>
          <w:lang w:val="hu-HU"/>
        </w:rPr>
        <w:t xml:space="preserve"> feltételek</w:t>
      </w:r>
    </w:p>
    <w:p w14:paraId="44F4C9AF" w14:textId="1C2A73E0" w:rsidR="00CE70EC" w:rsidRDefault="00CE70EC" w:rsidP="00CE70EC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befektetés gazdasági életképességét a műszaki-gazdasági dokumentáció alapján kell igazolni.</w:t>
      </w:r>
    </w:p>
    <w:p w14:paraId="510019EB" w14:textId="541501D9" w:rsidR="00CE70EC" w:rsidRP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1004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könyvelési mérlegnek pozitívnak kell lennie pályázat benyújtása előtti évben. Amennyiben a kérelmező veszteséget könyvelt el a finanszírozási kérelem benyújtását megelőző évben, ellenőrizni kell, hogy az N-2 és N-3 években (azoknál a kérelmezőknél, akik legalább három éve működnek a kérelem benyújtásakor) a könyvelési mérleg pozitív volt-e.</w:t>
      </w:r>
    </w:p>
    <w:p w14:paraId="33E8F21D" w14:textId="464E9750" w:rsidR="00CE70EC" w:rsidRPr="00CE70EC" w:rsidRDefault="00CE70EC" w:rsidP="00CE70EC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befektetésnek meg kell felelnie a projekt vonatkozásában érvényes nemzeti jogszabályok előírásainak. (fel kell mutatni a működéshez kapcsolódó összes engedélyt – DSP, DSVSA, Környezetvédelmi engedély)</w:t>
      </w:r>
    </w:p>
    <w:p w14:paraId="19DB4260" w14:textId="26D2E675" w:rsidR="00CE70EC" w:rsidRPr="00CE70EC" w:rsidRDefault="00CE70EC" w:rsidP="00CE70E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Finanszírozásban azok a pályázatok részesülnek, amelyek egyetlen</w:t>
      </w:r>
      <w:r>
        <w:rPr>
          <w:rFonts w:ascii="Arial" w:hAnsi="Arial" w:cs="Arial"/>
          <w:sz w:val="20"/>
          <w:szCs w:val="20"/>
          <w:lang w:val="hu-HU"/>
        </w:rPr>
        <w:t xml:space="preserve"> CAEN-kódra</w:t>
      </w:r>
      <w:r w:rsidRPr="00CE70EC">
        <w:rPr>
          <w:rFonts w:ascii="Arial" w:hAnsi="Arial" w:cs="Arial"/>
          <w:sz w:val="20"/>
          <w:szCs w:val="20"/>
          <w:lang w:val="hu-HU"/>
        </w:rPr>
        <w:t xml:space="preserve"> igényelnek pénzügyi támogatást.</w:t>
      </w:r>
    </w:p>
    <w:p w14:paraId="6BE3A0CF" w14:textId="4CB74542" w:rsidR="00CE70EC" w:rsidRPr="00CE70EC" w:rsidRDefault="00CE70EC" w:rsidP="00CE70EC">
      <w:pPr>
        <w:pStyle w:val="ListParagraph"/>
        <w:spacing w:line="276" w:lineRule="auto"/>
        <w:ind w:left="1004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i/>
          <w:iCs/>
          <w:noProof/>
          <w:sz w:val="20"/>
          <w:szCs w:val="20"/>
        </w:rPr>
        <w:drawing>
          <wp:inline distT="0" distB="0" distL="0" distR="0" wp14:anchorId="551D702A" wp14:editId="6564EF8B">
            <wp:extent cx="213360" cy="213360"/>
            <wp:effectExtent l="0" t="0" r="0" b="0"/>
            <wp:docPr id="3418574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70EC">
        <w:rPr>
          <w:rFonts w:ascii="Arial" w:hAnsi="Arial" w:cs="Arial"/>
          <w:sz w:val="20"/>
          <w:szCs w:val="20"/>
          <w:lang w:val="hu-HU"/>
        </w:rPr>
        <w:t>Kivételt képeznek azok a projektek, amelyek a feldolgozási folyamat részeként indokoltan olyan berendezések/gépek beszerzését tartalmazzák, amelyek egyetlen technológiai feldolgozási folyamatba tartoznak, de olyan alrendszereket/elemeket is magukba foglalnak, amelyek több CAEN-kódnak is megfelelhetnek. Amennyiben vissza nem térítendő támogatást igényelnek egy technológiai folyamatba sorolt berendezésekre/gépekre, az összes vonatkozó CAEN-kódnak szerepelnie kell a cégkivonatban bejegyezve/engedélyezve, és azoknak jogosultnak kell lenniük (például: kenyértészta gyártása – CAEN 1061 és kenyérgyártás – CAEN 1071).</w:t>
      </w:r>
    </w:p>
    <w:p w14:paraId="528DABC7" w14:textId="77777777" w:rsidR="00CE70EC" w:rsidRPr="00CE70EC" w:rsidRDefault="00CE70EC" w:rsidP="00CE70EC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projekt által megvalósítani kívánt beruházás lehet I. típusú vagy II. típusú beruházás:</w:t>
      </w:r>
    </w:p>
    <w:p w14:paraId="2003C3CB" w14:textId="77777777" w:rsidR="00CE70EC" w:rsidRP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646"/>
        <w:jc w:val="both"/>
        <w:rPr>
          <w:rFonts w:ascii="Arial" w:hAnsi="Arial" w:cs="Arial"/>
          <w:sz w:val="20"/>
          <w:szCs w:val="20"/>
          <w:lang w:val="hu-HU"/>
        </w:rPr>
      </w:pPr>
    </w:p>
    <w:p w14:paraId="4B7AF5B2" w14:textId="77777777" w:rsidR="00CE70EC" w:rsidRPr="00CE70EC" w:rsidRDefault="00CE70EC" w:rsidP="00CE70EC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100" w:line="276" w:lineRule="auto"/>
        <w:ind w:hanging="371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típus: KEZDŐ BERUHÁZÁS – a tárgyi és/vagy immateriális eszközökbe történő beruházás kapcsolódhat:</w:t>
      </w:r>
    </w:p>
    <w:p w14:paraId="47309B49" w14:textId="77777777" w:rsidR="00CE70EC" w:rsidRPr="00CE70EC" w:rsidRDefault="00CE70EC" w:rsidP="00CE70EC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új termelőegység létrehozásához,</w:t>
      </w:r>
    </w:p>
    <w:p w14:paraId="2EC20F65" w14:textId="77777777" w:rsidR="00CE70EC" w:rsidRPr="00CE70EC" w:rsidRDefault="00CE70EC" w:rsidP="00CE70EC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meglévő egység kapacitásának bővítéséhez,</w:t>
      </w:r>
    </w:p>
    <w:p w14:paraId="65D5614B" w14:textId="77777777" w:rsidR="00CE70EC" w:rsidRPr="00CE70EC" w:rsidRDefault="00CE70EC" w:rsidP="00CE70EC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egy egység termelésének diverzifikálásához olyan termékekkel, amelyeket korábban nem gyártottak az adott egységben (a projekt előtt),</w:t>
      </w:r>
    </w:p>
    <w:p w14:paraId="46025EA6" w14:textId="77777777" w:rsidR="00CE70EC" w:rsidRPr="00CE70EC" w:rsidRDefault="00CE70EC" w:rsidP="00CE70EC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meglévő egység teljes termelési folyamatának alapvető megváltoztatásához.</w:t>
      </w:r>
    </w:p>
    <w:p w14:paraId="3E6BAE20" w14:textId="77777777" w:rsid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1800"/>
        <w:jc w:val="both"/>
        <w:rPr>
          <w:rFonts w:ascii="Arial" w:hAnsi="Arial" w:cs="Arial"/>
          <w:sz w:val="20"/>
          <w:szCs w:val="20"/>
          <w:lang w:val="hu-HU"/>
        </w:rPr>
      </w:pPr>
    </w:p>
    <w:p w14:paraId="60AE70EE" w14:textId="0598D303" w:rsidR="00CE70EC" w:rsidRP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1800"/>
        <w:jc w:val="both"/>
        <w:rPr>
          <w:rFonts w:ascii="Arial" w:hAnsi="Arial" w:cs="Arial"/>
          <w:sz w:val="20"/>
          <w:szCs w:val="20"/>
          <w:lang w:val="hu-HU"/>
        </w:rPr>
      </w:pPr>
      <w:r w:rsidRPr="0023055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6613DEB" wp14:editId="5B9112A6">
            <wp:extent cx="213360" cy="213360"/>
            <wp:effectExtent l="0" t="0" r="0" b="0"/>
            <wp:docPr id="3153467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70EC">
        <w:rPr>
          <w:rFonts w:ascii="Arial" w:hAnsi="Arial" w:cs="Arial"/>
          <w:sz w:val="20"/>
          <w:szCs w:val="20"/>
          <w:lang w:val="hu-HU"/>
        </w:rPr>
        <w:t>Ugyanazon a telephelyen engedélyezett egy termelőegység kapacitásának bővítése, valamint a termelés diverzifikálása olyan termékekkel, amelyeket a pályázat benyújtása előtt az egységben nem gyártottak (az I. típusú beruházások közül ez az egyetlen engedélyezett kombináció). A két tevékenység összevonása nem kötelező, mindkettő képezheti egy-egy külön pályázat tárgyát, vagy ugyanazon a telephelyen egyetlen pályázatban is egyesíthetők.</w:t>
      </w:r>
    </w:p>
    <w:p w14:paraId="63F5EF6D" w14:textId="77777777" w:rsidR="00CE70EC" w:rsidRP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1800"/>
        <w:jc w:val="both"/>
        <w:rPr>
          <w:rFonts w:ascii="Arial" w:hAnsi="Arial" w:cs="Arial"/>
          <w:sz w:val="20"/>
          <w:szCs w:val="20"/>
          <w:lang w:val="hu-HU"/>
        </w:rPr>
      </w:pPr>
    </w:p>
    <w:p w14:paraId="6CEF22BA" w14:textId="77777777" w:rsidR="00CE70EC" w:rsidRP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1800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  <w:r w:rsidRPr="00CE70EC">
        <w:rPr>
          <w:rFonts w:ascii="Arial" w:hAnsi="Arial" w:cs="Arial"/>
          <w:i/>
          <w:iCs/>
          <w:sz w:val="20"/>
          <w:szCs w:val="20"/>
          <w:lang w:val="hu-HU"/>
        </w:rPr>
        <w:t>vagy</w:t>
      </w:r>
    </w:p>
    <w:p w14:paraId="2D143C9F" w14:textId="77777777" w:rsidR="00CE70EC" w:rsidRP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1800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</w:p>
    <w:p w14:paraId="7C666DC2" w14:textId="77777777" w:rsidR="00CE70EC" w:rsidRPr="00CE70EC" w:rsidRDefault="00CE70EC" w:rsidP="00CE70EC">
      <w:pPr>
        <w:pStyle w:val="ListParagraph"/>
        <w:numPr>
          <w:ilvl w:val="0"/>
          <w:numId w:val="56"/>
        </w:numPr>
        <w:autoSpaceDE w:val="0"/>
        <w:autoSpaceDN w:val="0"/>
        <w:adjustRightInd w:val="0"/>
        <w:spacing w:after="100" w:line="276" w:lineRule="auto"/>
        <w:ind w:hanging="371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típus KEZDŐ BERUHÁZÁS ÚJ GAZDASÁGI TEVÉKENYSÉGRE – tárgyi és/vagy immateriális eszközökbe történő beruházás, amely kapcsolódik:</w:t>
      </w:r>
    </w:p>
    <w:p w14:paraId="008DAF0E" w14:textId="77777777" w:rsidR="00CE70EC" w:rsidRPr="00CE70EC" w:rsidRDefault="00CE70EC" w:rsidP="00CE70EC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új termelőegység létrehozásához,</w:t>
      </w:r>
    </w:p>
    <w:p w14:paraId="56815E10" w14:textId="77777777" w:rsidR="00CE70EC" w:rsidRPr="00CE70EC" w:rsidRDefault="00CE70EC" w:rsidP="00CE70EC">
      <w:pPr>
        <w:pStyle w:val="ListParagraph"/>
        <w:autoSpaceDE w:val="0"/>
        <w:autoSpaceDN w:val="0"/>
        <w:adjustRightInd w:val="0"/>
        <w:spacing w:after="100" w:line="276" w:lineRule="auto"/>
        <w:ind w:left="1800"/>
        <w:jc w:val="both"/>
        <w:rPr>
          <w:rFonts w:ascii="Arial" w:hAnsi="Arial" w:cs="Arial"/>
          <w:i/>
          <w:iCs/>
          <w:sz w:val="20"/>
          <w:szCs w:val="20"/>
          <w:lang w:val="hu-HU"/>
        </w:rPr>
      </w:pPr>
      <w:r w:rsidRPr="00CE70EC">
        <w:rPr>
          <w:rFonts w:ascii="Arial" w:hAnsi="Arial" w:cs="Arial"/>
          <w:i/>
          <w:iCs/>
          <w:sz w:val="20"/>
          <w:szCs w:val="20"/>
          <w:lang w:val="hu-HU"/>
        </w:rPr>
        <w:t>vagy</w:t>
      </w:r>
    </w:p>
    <w:p w14:paraId="3C026B93" w14:textId="77777777" w:rsidR="00CE70EC" w:rsidRPr="00CE70EC" w:rsidRDefault="00CE70EC" w:rsidP="00CE70EC">
      <w:pPr>
        <w:pStyle w:val="ListParagraph"/>
        <w:numPr>
          <w:ilvl w:val="0"/>
          <w:numId w:val="57"/>
        </w:numPr>
        <w:autoSpaceDE w:val="0"/>
        <w:autoSpaceDN w:val="0"/>
        <w:adjustRightInd w:val="0"/>
        <w:spacing w:after="100"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lastRenderedPageBreak/>
        <w:t>egy meglévő termelőegység tevékenységének diverzifikálásához, azzal a feltétellel, hogy az új, elszámolható tevékenység nem azonos és nem is hasonló a korábban az adott egységben végzett tevékenységgel.</w:t>
      </w:r>
    </w:p>
    <w:p w14:paraId="6D6272AD" w14:textId="77777777" w:rsidR="00CE70EC" w:rsidRPr="00CE70EC" w:rsidRDefault="00CE70EC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autoSpaceDE w:val="0"/>
        <w:autoSpaceDN w:val="0"/>
        <w:adjustRightInd w:val="0"/>
        <w:spacing w:after="100" w:line="276" w:lineRule="auto"/>
        <w:ind w:left="284" w:hanging="426"/>
        <w:jc w:val="both"/>
        <w:rPr>
          <w:rFonts w:ascii="Arial" w:hAnsi="Arial" w:cs="Arial"/>
          <w:color w:val="EE0000"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Elszámolható költségek</w:t>
      </w:r>
    </w:p>
    <w:p w14:paraId="74D64690" w14:textId="77777777" w:rsidR="00CE70EC" w:rsidRPr="00CE70EC" w:rsidRDefault="00CE70EC" w:rsidP="00CE70EC">
      <w:p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u w:val="single"/>
          <w:lang w:val="hu-HU"/>
        </w:rPr>
        <w:t>Tárgyi eszközökkel kapcsolatos kiadások:</w:t>
      </w:r>
    </w:p>
    <w:p w14:paraId="5B5DFBEB" w14:textId="77777777" w:rsidR="00CE70EC" w:rsidRPr="00CE70EC" w:rsidRDefault="00CE70EC" w:rsidP="00CE70EC">
      <w:pPr>
        <w:pStyle w:val="ListParagraph"/>
        <w:numPr>
          <w:ilvl w:val="0"/>
          <w:numId w:val="58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A mezőgazdasági termékek feldolgozási kapacitásának létrehozása/fejlesztése (termelési kapacitás bővítése, tevékenység diverzifikálása, termelés diverzifikálása).</w:t>
      </w:r>
    </w:p>
    <w:p w14:paraId="3F965F15" w14:textId="77777777" w:rsidR="00CE70EC" w:rsidRPr="00CE70EC" w:rsidRDefault="00CE70EC" w:rsidP="00CE70EC">
      <w:pPr>
        <w:pStyle w:val="ListParagraph"/>
        <w:numPr>
          <w:ilvl w:val="0"/>
          <w:numId w:val="57"/>
        </w:numPr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megvalósíthatósági tanulmányban/finanszírozási kérelemben szükségesnek ítélt épületek, berendezések, gépek és felszerelések építése, a feldolgozóegységek épületeinek bővítése, korszerűsítése és felszereltetése, belső infrastruktúra és közművek, a projekt által javasolt tevékenységhez szükséges videokamerás megfigyelőrendszerek.</w:t>
      </w:r>
    </w:p>
    <w:p w14:paraId="06CA7403" w14:textId="77777777" w:rsidR="00CE70EC" w:rsidRPr="00CE70EC" w:rsidRDefault="00CE70EC" w:rsidP="00CE70EC">
      <w:pPr>
        <w:pStyle w:val="ListParagraph"/>
        <w:numPr>
          <w:ilvl w:val="0"/>
          <w:numId w:val="57"/>
        </w:numPr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higiéniai feltételek és a technológiai folyamatok betartásának biztosításával kapcsolatos kiadások, mint például a termelési személyzet számára kialakított helyiségek: laboratóriumok, öltözők a dolgozók számára, étkezési helyiségek stb.;</w:t>
      </w:r>
    </w:p>
    <w:p w14:paraId="1FD1403A" w14:textId="77777777" w:rsidR="00CE70EC" w:rsidRPr="00CE70EC" w:rsidRDefault="00CE70EC" w:rsidP="00CE70EC">
      <w:pPr>
        <w:pStyle w:val="ListParagraph"/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 xml:space="preserve">  </w:t>
      </w:r>
    </w:p>
    <w:p w14:paraId="3999C032" w14:textId="77777777" w:rsidR="00CE70EC" w:rsidRPr="00CE70EC" w:rsidRDefault="00CE70EC" w:rsidP="00CE70EC">
      <w:pPr>
        <w:pStyle w:val="ListParagraph"/>
        <w:numPr>
          <w:ilvl w:val="0"/>
          <w:numId w:val="58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A feldolgozott alapanyag vagy késztermék csomagolási és tárolási kapacitásának kialakítása vagy bővítése, amely a projekt kiegészítő részét képezi.</w:t>
      </w:r>
    </w:p>
    <w:p w14:paraId="5A6F10CF" w14:textId="77777777" w:rsidR="00CE70EC" w:rsidRPr="00CE70EC" w:rsidRDefault="00CE70EC" w:rsidP="00CE70EC">
      <w:pPr>
        <w:pStyle w:val="ListParagraph"/>
        <w:numPr>
          <w:ilvl w:val="0"/>
          <w:numId w:val="59"/>
        </w:numPr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projekt másodlagos elemeként a megvalósíthatósági tanulmányban/finanszírozási kérelemben szükségesnek ítélt épületek, berendezések, gépek és felszerelések építése, a kondicionáló épületek bővítése, korszerűsítése és felszerelése, a feldolgozott nyersanyag/feldolgozásból származó késztermék tárolása;</w:t>
      </w:r>
    </w:p>
    <w:p w14:paraId="71E4BC73" w14:textId="77777777" w:rsidR="00CE70EC" w:rsidRPr="00CE70EC" w:rsidRDefault="00CE70EC" w:rsidP="00CE70EC">
      <w:pPr>
        <w:pStyle w:val="ListParagraph"/>
        <w:numPr>
          <w:ilvl w:val="0"/>
          <w:numId w:val="59"/>
        </w:numPr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kondicionáló, tároló kapacitásokhoz kapcsolódó belső infrastruktúra és közművek beruházásaiból származó kiadások.</w:t>
      </w:r>
    </w:p>
    <w:p w14:paraId="6F1E6D27" w14:textId="77777777" w:rsidR="00CE70EC" w:rsidRPr="00CE70EC" w:rsidRDefault="00CE70EC" w:rsidP="00CE70EC">
      <w:pPr>
        <w:pStyle w:val="ListParagraph"/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</w:p>
    <w:p w14:paraId="7D4E683A" w14:textId="77777777" w:rsidR="00CE70EC" w:rsidRPr="00CE70EC" w:rsidRDefault="00CE70EC" w:rsidP="00CE70EC">
      <w:pPr>
        <w:pStyle w:val="ListParagraph"/>
        <w:numPr>
          <w:ilvl w:val="0"/>
          <w:numId w:val="58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Kereskedelmi/ marketing komponens létrehozása/ fejlesztése, mint a projekt másodlagos eleme:</w:t>
      </w:r>
    </w:p>
    <w:p w14:paraId="44016B09" w14:textId="77777777" w:rsidR="00CE70EC" w:rsidRPr="00CE70EC" w:rsidRDefault="00CE70EC" w:rsidP="00CE70EC">
      <w:pPr>
        <w:pStyle w:val="ListParagraph"/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 xml:space="preserve">Új gépek, berendezések, szállítóeszközök beszerzése, beleértve a lízingbe vételt is: </w:t>
      </w:r>
    </w:p>
    <w:p w14:paraId="05741CC1" w14:textId="77777777" w:rsidR="00CE70EC" w:rsidRPr="00CE70EC" w:rsidRDefault="00CE70EC" w:rsidP="00CE70EC">
      <w:pPr>
        <w:pStyle w:val="ListParagraph"/>
        <w:numPr>
          <w:ilvl w:val="0"/>
          <w:numId w:val="60"/>
        </w:num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Kizárólag az alábbi speciális szállítóeszközök minősülnek támogatható költségnek, amelyek csak bizonyos típusú nyersanyagokat/szállítmányokat szállítanak, és amelyek megfelelnek a projektben leírt tevékenységnek:</w:t>
      </w:r>
    </w:p>
    <w:p w14:paraId="527FBB7B" w14:textId="77777777" w:rsidR="00CE70EC" w:rsidRPr="00CE70EC" w:rsidRDefault="00CE70EC" w:rsidP="00CE70EC">
      <w:pPr>
        <w:pStyle w:val="ListParagraph"/>
        <w:numPr>
          <w:ilvl w:val="0"/>
          <w:numId w:val="60"/>
        </w:num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Tartálykocsik;</w:t>
      </w:r>
    </w:p>
    <w:p w14:paraId="09482D56" w14:textId="77777777" w:rsidR="00CE70EC" w:rsidRPr="00CE70EC" w:rsidRDefault="00CE70EC" w:rsidP="00CE70EC">
      <w:pPr>
        <w:pStyle w:val="ListParagraph"/>
        <w:numPr>
          <w:ilvl w:val="0"/>
          <w:numId w:val="60"/>
        </w:num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Szigetelt furgonok (falak hőszigeteléssel, de hűtőaggregát nélkül, élelmiszerek szállítására);</w:t>
      </w:r>
    </w:p>
    <w:p w14:paraId="30FFF2F1" w14:textId="77777777" w:rsidR="00CE70EC" w:rsidRPr="00CE70EC" w:rsidRDefault="00CE70EC" w:rsidP="00CE70EC">
      <w:pPr>
        <w:pStyle w:val="ListParagraph"/>
        <w:numPr>
          <w:ilvl w:val="0"/>
          <w:numId w:val="60"/>
        </w:num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Hűtős furgonok (hűtött vagy hőszabályozott termékek szállítására);</w:t>
      </w:r>
    </w:p>
    <w:p w14:paraId="6617D1F4" w14:textId="77777777" w:rsidR="00CE70EC" w:rsidRPr="00CE70EC" w:rsidRDefault="00CE70EC" w:rsidP="00CE70EC">
      <w:pPr>
        <w:pStyle w:val="ListParagraph"/>
        <w:numPr>
          <w:ilvl w:val="0"/>
          <w:numId w:val="60"/>
        </w:num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Speciális pótkocsik és félpótkocsik;</w:t>
      </w:r>
    </w:p>
    <w:p w14:paraId="3ADE65A4" w14:textId="77777777" w:rsidR="00CE70EC" w:rsidRPr="00CE70EC" w:rsidRDefault="00CE70EC" w:rsidP="00CE70EC">
      <w:pPr>
        <w:pStyle w:val="ListParagraph"/>
        <w:numPr>
          <w:ilvl w:val="0"/>
          <w:numId w:val="60"/>
        </w:num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 xml:space="preserve">Élelmiszerhordó utánfutók és lakókocsik. </w:t>
      </w:r>
    </w:p>
    <w:p w14:paraId="00EE22EB" w14:textId="77777777" w:rsidR="00CE70EC" w:rsidRPr="00CE70EC" w:rsidRDefault="00CE70EC" w:rsidP="00CE70EC">
      <w:p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noProof/>
          <w:sz w:val="20"/>
          <w:szCs w:val="20"/>
          <w:lang w:val="hu-HU"/>
        </w:rPr>
        <w:drawing>
          <wp:inline distT="0" distB="0" distL="0" distR="0" wp14:anchorId="21725072" wp14:editId="3984F763">
            <wp:extent cx="213360" cy="213360"/>
            <wp:effectExtent l="0" t="0" r="0" b="0"/>
            <wp:docPr id="21420685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70EC">
        <w:rPr>
          <w:rFonts w:ascii="Arial" w:hAnsi="Arial" w:cs="Arial"/>
          <w:sz w:val="20"/>
          <w:szCs w:val="20"/>
          <w:lang w:val="hu-HU"/>
        </w:rPr>
        <w:t>Minden más szállítóeszköz költségei nem támogathatók.</w:t>
      </w:r>
    </w:p>
    <w:p w14:paraId="4ABE38C8" w14:textId="77777777" w:rsidR="00CE70EC" w:rsidRPr="00CE70EC" w:rsidRDefault="00CE70EC" w:rsidP="00CE70EC">
      <w:pPr>
        <w:pStyle w:val="ListParagraph"/>
        <w:numPr>
          <w:ilvl w:val="0"/>
          <w:numId w:val="61"/>
        </w:numPr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Az előállított termékek forgalmazásával kapcsolatos kiadások (pl. termék címkézésére, csomagolására szolgáló eszközök);</w:t>
      </w:r>
    </w:p>
    <w:p w14:paraId="7E953F53" w14:textId="77777777" w:rsidR="00CE70EC" w:rsidRPr="00CE70EC" w:rsidRDefault="00CE70EC" w:rsidP="00CE70EC">
      <w:pPr>
        <w:pStyle w:val="ListParagraph"/>
        <w:numPr>
          <w:ilvl w:val="0"/>
          <w:numId w:val="61"/>
        </w:numPr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termékek forgalmazásával kapcsolatos kiadások.</w:t>
      </w:r>
    </w:p>
    <w:p w14:paraId="3EAB4352" w14:textId="77777777" w:rsidR="00CE70EC" w:rsidRPr="00CE70EC" w:rsidRDefault="00CE70EC" w:rsidP="00CE70EC">
      <w:pPr>
        <w:pStyle w:val="ListParagraph"/>
        <w:spacing w:line="276" w:lineRule="auto"/>
        <w:ind w:left="1418"/>
        <w:jc w:val="both"/>
        <w:rPr>
          <w:rFonts w:ascii="Arial" w:hAnsi="Arial" w:cs="Arial"/>
          <w:sz w:val="20"/>
          <w:szCs w:val="20"/>
          <w:lang w:val="hu-HU"/>
        </w:rPr>
      </w:pPr>
    </w:p>
    <w:p w14:paraId="4B42777B" w14:textId="77777777" w:rsidR="00CE70EC" w:rsidRPr="00CE70EC" w:rsidRDefault="00CE70EC" w:rsidP="00CE70EC">
      <w:pPr>
        <w:pStyle w:val="ListParagraph"/>
        <w:numPr>
          <w:ilvl w:val="0"/>
          <w:numId w:val="58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t>Beruházások, amelyek hozzájárulnak a szén-dioxid-kibocsátás csökkentéséhez, mint a projekt másodlagos összetevője; Az épületek energiahatékonyságával kapcsolatos költségek (pl. építőanyagok, amelyek javítják az energiahatékonyságot, hőszigetelés, hőenergia-visszanyerő berendezések stb.)</w:t>
      </w:r>
    </w:p>
    <w:p w14:paraId="4FEE8997" w14:textId="77777777" w:rsidR="00CE70EC" w:rsidRPr="00CE70EC" w:rsidRDefault="00CE70EC" w:rsidP="00CE70EC">
      <w:pPr>
        <w:pStyle w:val="ListParagraph"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</w:p>
    <w:p w14:paraId="0D2152E1" w14:textId="77777777" w:rsidR="00CE70EC" w:rsidRPr="00CE70EC" w:rsidRDefault="00CE70EC" w:rsidP="00CE70EC">
      <w:pPr>
        <w:pStyle w:val="ListParagraph"/>
        <w:numPr>
          <w:ilvl w:val="0"/>
          <w:numId w:val="58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hu-HU"/>
        </w:rPr>
      </w:pPr>
      <w:r w:rsidRPr="00CE70EC">
        <w:rPr>
          <w:rFonts w:ascii="Arial" w:hAnsi="Arial" w:cs="Arial"/>
          <w:b/>
          <w:bCs/>
          <w:sz w:val="20"/>
          <w:szCs w:val="20"/>
          <w:lang w:val="hu-HU"/>
        </w:rPr>
        <w:lastRenderedPageBreak/>
        <w:t>A projekt által lefedett tevékenység végzéséhez szükséges digitális megoldások felhasználásához kapcsolódó beruházások a kondicionálás, feldolgozás, marketing és menedzsment területén.</w:t>
      </w:r>
    </w:p>
    <w:p w14:paraId="5275403A" w14:textId="77777777" w:rsidR="00CE70EC" w:rsidRPr="00CE70EC" w:rsidRDefault="00CE70EC" w:rsidP="00CE70EC">
      <w:p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u w:val="single"/>
          <w:lang w:val="hu-HU"/>
        </w:rPr>
        <w:t>Immateriális javakba történő beruházásokból származó kiadások:</w:t>
      </w:r>
    </w:p>
    <w:p w14:paraId="772DDDA3" w14:textId="77777777" w:rsidR="00CE70EC" w:rsidRPr="00CE70EC" w:rsidRDefault="00CE70EC" w:rsidP="00CE70EC">
      <w:pPr>
        <w:pStyle w:val="ListParagraph"/>
        <w:numPr>
          <w:ilvl w:val="0"/>
          <w:numId w:val="62"/>
        </w:num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Minőség- és élelmiszerbiztonsági irányítási rendszerek vásárlása, amennyiben a projekt tárgyi beruházásaihoz kapcsolódnak;</w:t>
      </w:r>
    </w:p>
    <w:p w14:paraId="359CBDFC" w14:textId="77777777" w:rsidR="00CE70EC" w:rsidRPr="00CE70EC" w:rsidRDefault="00CE70EC" w:rsidP="00CE70EC">
      <w:pPr>
        <w:pStyle w:val="ListParagraph"/>
        <w:numPr>
          <w:ilvl w:val="0"/>
          <w:numId w:val="62"/>
        </w:num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 xml:space="preserve">Technológiák (know-how), szabadalmak és licencek vásárlása </w:t>
      </w:r>
    </w:p>
    <w:p w14:paraId="59314B7B" w14:textId="77777777" w:rsidR="00CE70EC" w:rsidRPr="00CE70EC" w:rsidRDefault="00CE70EC" w:rsidP="00CE70EC">
      <w:pPr>
        <w:pStyle w:val="ListParagraph"/>
        <w:numPr>
          <w:ilvl w:val="0"/>
          <w:numId w:val="62"/>
        </w:num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Szoftverek beszerzése,</w:t>
      </w:r>
    </w:p>
    <w:p w14:paraId="53298CD7" w14:textId="77777777" w:rsidR="00CE70EC" w:rsidRPr="00CE70EC" w:rsidRDefault="00CE70EC" w:rsidP="00CE70EC">
      <w:pPr>
        <w:pStyle w:val="ListParagraph"/>
        <w:numPr>
          <w:ilvl w:val="0"/>
          <w:numId w:val="62"/>
        </w:num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A nem mezőgazdasági termékek forgalmazásával kapcsolatos költségek, a projekt támogatható értékének legfeljebb 5%-a, de legfeljebb 100 000 euró:</w:t>
      </w:r>
    </w:p>
    <w:p w14:paraId="7C0D082B" w14:textId="77777777" w:rsidR="00CE70EC" w:rsidRPr="00CE70EC" w:rsidRDefault="00CE70EC" w:rsidP="00CE70EC">
      <w:pPr>
        <w:pStyle w:val="ListParagraph"/>
        <w:numPr>
          <w:ilvl w:val="0"/>
          <w:numId w:val="62"/>
        </w:num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Honlap létrehozása a saját nem mezőgazdasági termékek promóciója és forgalmazása céljából;</w:t>
      </w:r>
    </w:p>
    <w:p w14:paraId="1AFF4153" w14:textId="77777777" w:rsidR="00CE70EC" w:rsidRPr="00CE70EC" w:rsidRDefault="00CE70EC" w:rsidP="00CE70EC">
      <w:pPr>
        <w:pStyle w:val="ListParagraph"/>
        <w:numPr>
          <w:ilvl w:val="0"/>
          <w:numId w:val="62"/>
        </w:num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Címkézés (koncepció létrehozása);</w:t>
      </w:r>
    </w:p>
    <w:p w14:paraId="4D79CF9D" w14:textId="77777777" w:rsidR="00CE70EC" w:rsidRPr="00CE70EC" w:rsidRDefault="00CE70EC" w:rsidP="00CE70EC">
      <w:pPr>
        <w:pStyle w:val="ListParagraph"/>
        <w:numPr>
          <w:ilvl w:val="0"/>
          <w:numId w:val="62"/>
        </w:numPr>
        <w:spacing w:line="276" w:lineRule="auto"/>
        <w:jc w:val="both"/>
        <w:rPr>
          <w:rFonts w:ascii="Arial" w:hAnsi="Arial" w:cs="Arial"/>
          <w:sz w:val="20"/>
          <w:szCs w:val="20"/>
          <w:u w:val="single"/>
          <w:lang w:val="hu-HU"/>
        </w:rPr>
      </w:pPr>
      <w:r w:rsidRPr="00CE70EC">
        <w:rPr>
          <w:rFonts w:ascii="Arial" w:hAnsi="Arial" w:cs="Arial"/>
          <w:sz w:val="20"/>
          <w:szCs w:val="20"/>
          <w:lang w:val="hu-HU"/>
        </w:rPr>
        <w:t>Bejegyzett védjegy/</w:t>
      </w:r>
      <w:proofErr w:type="spellStart"/>
      <w:r w:rsidRPr="00CE70EC">
        <w:rPr>
          <w:rFonts w:ascii="Arial" w:hAnsi="Arial" w:cs="Arial"/>
          <w:sz w:val="20"/>
          <w:szCs w:val="20"/>
          <w:lang w:val="hu-HU"/>
        </w:rPr>
        <w:t>brand</w:t>
      </w:r>
      <w:proofErr w:type="spellEnd"/>
      <w:r w:rsidRPr="00CE70EC">
        <w:rPr>
          <w:rFonts w:ascii="Arial" w:hAnsi="Arial" w:cs="Arial"/>
          <w:sz w:val="20"/>
          <w:szCs w:val="20"/>
          <w:lang w:val="hu-HU"/>
        </w:rPr>
        <w:t xml:space="preserve"> létrehozása.</w:t>
      </w:r>
    </w:p>
    <w:p w14:paraId="551E984B" w14:textId="77777777" w:rsidR="00CE70EC" w:rsidRPr="00CE70EC" w:rsidRDefault="00CE70EC" w:rsidP="00CE70EC">
      <w:pPr>
        <w:spacing w:line="276" w:lineRule="auto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hAnsi="Arial" w:cs="Arial"/>
          <w:noProof/>
          <w:sz w:val="20"/>
          <w:szCs w:val="20"/>
          <w:lang w:val="hu-HU"/>
        </w:rPr>
        <w:drawing>
          <wp:inline distT="0" distB="0" distL="0" distR="0" wp14:anchorId="3D135FDD" wp14:editId="2B518564">
            <wp:extent cx="213360" cy="213360"/>
            <wp:effectExtent l="0" t="0" r="0" b="0"/>
            <wp:docPr id="20987996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E70EC">
        <w:rPr>
          <w:rFonts w:ascii="Arial" w:hAnsi="Arial" w:cs="Arial"/>
          <w:sz w:val="20"/>
          <w:szCs w:val="20"/>
          <w:lang w:val="hu-HU"/>
        </w:rPr>
        <w:t>Az immateriális javak költségei minden vállalkozástípus esetében csak az összes elszámolható költség 20%-</w:t>
      </w:r>
      <w:proofErr w:type="spellStart"/>
      <w:r w:rsidRPr="00CE70EC">
        <w:rPr>
          <w:rFonts w:ascii="Arial" w:hAnsi="Arial" w:cs="Arial"/>
          <w:sz w:val="20"/>
          <w:szCs w:val="20"/>
          <w:lang w:val="hu-HU"/>
        </w:rPr>
        <w:t>áig</w:t>
      </w:r>
      <w:proofErr w:type="spellEnd"/>
      <w:r w:rsidRPr="00CE70EC">
        <w:rPr>
          <w:rFonts w:ascii="Arial" w:hAnsi="Arial" w:cs="Arial"/>
          <w:sz w:val="20"/>
          <w:szCs w:val="20"/>
          <w:lang w:val="hu-HU"/>
        </w:rPr>
        <w:t xml:space="preserve"> számolhatók el.</w:t>
      </w:r>
    </w:p>
    <w:p w14:paraId="11C5626B" w14:textId="77777777" w:rsidR="00CE70EC" w:rsidRPr="00CE70EC" w:rsidRDefault="00CE70EC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spacing w:line="276" w:lineRule="auto"/>
        <w:ind w:left="284"/>
        <w:jc w:val="both"/>
        <w:rPr>
          <w:rFonts w:ascii="Arial" w:hAnsi="Arial" w:cs="Arial"/>
          <w:sz w:val="20"/>
          <w:szCs w:val="20"/>
          <w:lang w:val="hu-HU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Nem elszámolható költségek</w:t>
      </w:r>
    </w:p>
    <w:p w14:paraId="5C5D6F4C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Használt eszközök/felszerelések vásárlása;</w:t>
      </w:r>
    </w:p>
    <w:p w14:paraId="07839AF1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A támogatási kérelem benyújtása és a támogatási szerződés aláírása előtti költségek;</w:t>
      </w:r>
    </w:p>
    <w:p w14:paraId="5EDBCB58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Személyes használatra és személyszállításra szolgáló gépjárművek vásárlása;</w:t>
      </w:r>
    </w:p>
    <w:p w14:paraId="3114C6DC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Lízingszerződések esetén a lízingszerződéssel kapcsolatos egyéb költségek;</w:t>
      </w:r>
    </w:p>
    <w:p w14:paraId="051DC23D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val="hu-HU"/>
          <w14:ligatures w14:val="none"/>
        </w:rPr>
        <w:t>Pályázati tanácsadás, tervezési és ellenőrzési költségek, engedélyek kibocsájtási díjai;</w:t>
      </w:r>
    </w:p>
    <w:p w14:paraId="61B1493E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Ingatlanok vásárlása;</w:t>
      </w:r>
    </w:p>
    <w:p w14:paraId="6953BA5E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Földterületek vásárlása;</w:t>
      </w:r>
    </w:p>
    <w:p w14:paraId="4C21A919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Házépítés és - korszerűsítés;</w:t>
      </w:r>
    </w:p>
    <w:p w14:paraId="42611513" w14:textId="77777777" w:rsidR="00CE70EC" w:rsidRPr="00CE70EC" w:rsidRDefault="00CE70EC" w:rsidP="00CE70EC">
      <w:pPr>
        <w:pStyle w:val="ListParagraph"/>
        <w:numPr>
          <w:ilvl w:val="0"/>
          <w:numId w:val="42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Irodák, tárgyalók, szálláshelyek stb. létrehozása az egységen belül.</w:t>
      </w:r>
    </w:p>
    <w:p w14:paraId="16EB8807" w14:textId="77777777" w:rsidR="008F1AD3" w:rsidRPr="00CE70EC" w:rsidRDefault="008F1AD3" w:rsidP="00CE70EC">
      <w:pPr>
        <w:pStyle w:val="ListParagraph"/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</w:p>
    <w:p w14:paraId="46EA570A" w14:textId="4EF72DF2" w:rsidR="00AB438B" w:rsidRPr="00CE70EC" w:rsidRDefault="002C57CA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spacing w:before="160" w:line="276" w:lineRule="auto"/>
        <w:ind w:left="283" w:hanging="357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Támogatható tevékenységi területek</w:t>
      </w:r>
    </w:p>
    <w:tbl>
      <w:tblPr>
        <w:tblStyle w:val="TableGrid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6239"/>
        <w:gridCol w:w="2084"/>
      </w:tblGrid>
      <w:tr w:rsidR="00CE70EC" w:rsidRPr="00CE70EC" w14:paraId="38A89E07" w14:textId="77777777" w:rsidTr="00CE70EC">
        <w:trPr>
          <w:trHeight w:val="20"/>
          <w:tblHeader/>
        </w:trPr>
        <w:tc>
          <w:tcPr>
            <w:tcW w:w="384" w:type="pct"/>
            <w:shd w:val="clear" w:color="auto" w:fill="ACB9CA" w:themeFill="text2" w:themeFillTint="66"/>
            <w:vAlign w:val="center"/>
          </w:tcPr>
          <w:p w14:paraId="753ABFA6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Nr. crt.</w:t>
            </w:r>
          </w:p>
        </w:tc>
        <w:tc>
          <w:tcPr>
            <w:tcW w:w="3460" w:type="pct"/>
            <w:shd w:val="clear" w:color="auto" w:fill="ACB9CA" w:themeFill="text2" w:themeFillTint="66"/>
            <w:vAlign w:val="center"/>
          </w:tcPr>
          <w:p w14:paraId="69D74BAC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Denumire activitate/activități din domeniile de intervenții eligibile în cadrul intervenției DR-23 pentru care se acordă sprijin pentru investiții inițiale întreprinderilor prin prezenta schemă</w:t>
            </w:r>
          </w:p>
        </w:tc>
        <w:tc>
          <w:tcPr>
            <w:tcW w:w="1156" w:type="pct"/>
            <w:shd w:val="clear" w:color="auto" w:fill="ACB9CA" w:themeFill="text2" w:themeFillTint="66"/>
            <w:vAlign w:val="center"/>
          </w:tcPr>
          <w:p w14:paraId="037EF5CE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Grupe/clase</w:t>
            </w: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br/>
              <w:t>CAEN</w:t>
            </w:r>
          </w:p>
        </w:tc>
      </w:tr>
      <w:tr w:rsidR="00CE70EC" w:rsidRPr="00CE70EC" w14:paraId="271F6929" w14:textId="77777777" w:rsidTr="00B179B6">
        <w:trPr>
          <w:trHeight w:val="20"/>
        </w:trPr>
        <w:tc>
          <w:tcPr>
            <w:tcW w:w="5000" w:type="pct"/>
            <w:gridSpan w:val="3"/>
            <w:shd w:val="clear" w:color="auto" w:fill="D5DCE4" w:themeFill="text2" w:themeFillTint="33"/>
            <w:vAlign w:val="center"/>
            <w:hideMark/>
          </w:tcPr>
          <w:p w14:paraId="37C3433E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INDUSTRIA ALIMENTARĂ</w:t>
            </w:r>
          </w:p>
          <w:p w14:paraId="58F76D0D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</w:p>
        </w:tc>
      </w:tr>
      <w:tr w:rsidR="00CE70EC" w:rsidRPr="00CE70EC" w14:paraId="6AFE6AEA" w14:textId="77777777" w:rsidTr="00B179B6">
        <w:trPr>
          <w:trHeight w:val="20"/>
        </w:trPr>
        <w:tc>
          <w:tcPr>
            <w:tcW w:w="384" w:type="pct"/>
            <w:shd w:val="clear" w:color="auto" w:fill="F2F2F2" w:themeFill="background1" w:themeFillShade="F2"/>
            <w:vAlign w:val="center"/>
            <w:hideMark/>
          </w:tcPr>
          <w:p w14:paraId="7B1210C6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1.</w:t>
            </w:r>
          </w:p>
        </w:tc>
        <w:tc>
          <w:tcPr>
            <w:tcW w:w="3460" w:type="pct"/>
            <w:shd w:val="clear" w:color="auto" w:fill="F2F2F2" w:themeFill="background1" w:themeFillShade="F2"/>
            <w:vAlign w:val="center"/>
            <w:hideMark/>
          </w:tcPr>
          <w:p w14:paraId="7F1A75AF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Fabricarea produselor lactate</w:t>
            </w:r>
          </w:p>
        </w:tc>
        <w:tc>
          <w:tcPr>
            <w:tcW w:w="1156" w:type="pct"/>
            <w:shd w:val="clear" w:color="auto" w:fill="F2F2F2" w:themeFill="background1" w:themeFillShade="F2"/>
            <w:vAlign w:val="center"/>
            <w:hideMark/>
          </w:tcPr>
          <w:p w14:paraId="3521C139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105</w:t>
            </w:r>
          </w:p>
        </w:tc>
      </w:tr>
      <w:tr w:rsidR="00CE70EC" w:rsidRPr="00CE70EC" w14:paraId="25FD548F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3D589097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1.1.</w:t>
            </w:r>
          </w:p>
        </w:tc>
        <w:tc>
          <w:tcPr>
            <w:tcW w:w="3460" w:type="pct"/>
            <w:vAlign w:val="center"/>
            <w:hideMark/>
          </w:tcPr>
          <w:p w14:paraId="09AFB4D2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înghețatei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înghețatei și altor produse asemănătoare înghețatei, cum este sorbetul</w:t>
            </w:r>
          </w:p>
        </w:tc>
        <w:tc>
          <w:tcPr>
            <w:tcW w:w="1156" w:type="pct"/>
            <w:vAlign w:val="center"/>
            <w:hideMark/>
          </w:tcPr>
          <w:p w14:paraId="34B8861A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1052</w:t>
            </w:r>
          </w:p>
        </w:tc>
      </w:tr>
      <w:tr w:rsidR="00CE70EC" w:rsidRPr="00CE70EC" w14:paraId="357D5D88" w14:textId="77777777" w:rsidTr="00B179B6">
        <w:trPr>
          <w:trHeight w:val="20"/>
        </w:trPr>
        <w:tc>
          <w:tcPr>
            <w:tcW w:w="384" w:type="pct"/>
            <w:shd w:val="clear" w:color="auto" w:fill="F2F2F2" w:themeFill="background1" w:themeFillShade="F2"/>
            <w:vAlign w:val="center"/>
            <w:hideMark/>
          </w:tcPr>
          <w:p w14:paraId="02A1C5DF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2.</w:t>
            </w:r>
          </w:p>
        </w:tc>
        <w:tc>
          <w:tcPr>
            <w:tcW w:w="3460" w:type="pct"/>
            <w:shd w:val="clear" w:color="auto" w:fill="F2F2F2" w:themeFill="background1" w:themeFillShade="F2"/>
            <w:vAlign w:val="center"/>
            <w:hideMark/>
          </w:tcPr>
          <w:p w14:paraId="1330C046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Fabricarea produselor de morărit, a amidonului și a produselor din amidon</w:t>
            </w:r>
          </w:p>
        </w:tc>
        <w:tc>
          <w:tcPr>
            <w:tcW w:w="1156" w:type="pct"/>
            <w:shd w:val="clear" w:color="auto" w:fill="F2F2F2" w:themeFill="background1" w:themeFillShade="F2"/>
            <w:vAlign w:val="center"/>
            <w:hideMark/>
          </w:tcPr>
          <w:p w14:paraId="504D031D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106</w:t>
            </w:r>
          </w:p>
        </w:tc>
      </w:tr>
      <w:tr w:rsidR="00CE70EC" w:rsidRPr="00CE70EC" w14:paraId="36EFB0B7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2579F6C3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2.1.</w:t>
            </w:r>
          </w:p>
        </w:tc>
        <w:tc>
          <w:tcPr>
            <w:tcW w:w="3460" w:type="pct"/>
            <w:vAlign w:val="center"/>
            <w:hideMark/>
          </w:tcPr>
          <w:p w14:paraId="52FC4DD6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produselor de morărit*, din care: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amestecurilor de făină și făină mixtă preparată și a aluaturilor pentru pâine, prăjituri, biscuiți sau cozonac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produselor din cereale pentru mic dejun</w:t>
            </w:r>
          </w:p>
          <w:p w14:paraId="3442F105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- fabricarea produselor de morărit fără gluten</w:t>
            </w:r>
          </w:p>
        </w:tc>
        <w:tc>
          <w:tcPr>
            <w:tcW w:w="1156" w:type="pct"/>
            <w:vAlign w:val="center"/>
            <w:hideMark/>
          </w:tcPr>
          <w:p w14:paraId="07252456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1061</w:t>
            </w:r>
          </w:p>
        </w:tc>
      </w:tr>
      <w:tr w:rsidR="00CE70EC" w:rsidRPr="00CE70EC" w14:paraId="1A33C018" w14:textId="77777777" w:rsidTr="00B179B6">
        <w:trPr>
          <w:trHeight w:val="20"/>
        </w:trPr>
        <w:tc>
          <w:tcPr>
            <w:tcW w:w="384" w:type="pct"/>
            <w:vAlign w:val="center"/>
          </w:tcPr>
          <w:p w14:paraId="245B1C2C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2.2</w:t>
            </w:r>
          </w:p>
        </w:tc>
        <w:tc>
          <w:tcPr>
            <w:tcW w:w="3460" w:type="pct"/>
            <w:vAlign w:val="center"/>
          </w:tcPr>
          <w:p w14:paraId="56548698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amidonului si a produselor din amidon</w:t>
            </w:r>
          </w:p>
          <w:p w14:paraId="03BC616B" w14:textId="77777777" w:rsidR="00CE70EC" w:rsidRPr="00CE70EC" w:rsidRDefault="00CE70EC" w:rsidP="00CE70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hAnsi="Arial" w:cs="Arial"/>
                <w:color w:val="333333"/>
                <w:sz w:val="20"/>
                <w:szCs w:val="20"/>
              </w:rPr>
              <w:lastRenderedPageBreak/>
              <w:t>- fabricarea produselor din amidon</w:t>
            </w:r>
          </w:p>
          <w:p w14:paraId="6CF2046F" w14:textId="77777777" w:rsidR="00CE70EC" w:rsidRPr="00CE70EC" w:rsidRDefault="00CE70EC" w:rsidP="00CE70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hAnsi="Arial" w:cs="Arial"/>
                <w:color w:val="333333"/>
                <w:sz w:val="20"/>
                <w:szCs w:val="20"/>
              </w:rPr>
              <w:t>- fabricarea de tapioca și a înlocuitorilor de tapioca preparați din fulgi de amidon, cereale și similar</w:t>
            </w:r>
          </w:p>
          <w:p w14:paraId="1BA109DE" w14:textId="77777777" w:rsidR="00CE70EC" w:rsidRPr="00CE70EC" w:rsidRDefault="00CE70EC" w:rsidP="00CE70EC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hAnsi="Arial" w:cs="Arial"/>
                <w:color w:val="333333"/>
                <w:sz w:val="20"/>
                <w:szCs w:val="20"/>
              </w:rPr>
              <w:t>- fabricarea produselor din amidon fără gluten</w:t>
            </w:r>
          </w:p>
        </w:tc>
        <w:tc>
          <w:tcPr>
            <w:tcW w:w="1156" w:type="pct"/>
            <w:vAlign w:val="center"/>
          </w:tcPr>
          <w:p w14:paraId="0C0440B9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lastRenderedPageBreak/>
              <w:t>1062</w:t>
            </w:r>
          </w:p>
        </w:tc>
      </w:tr>
      <w:tr w:rsidR="00CE70EC" w:rsidRPr="00CE70EC" w14:paraId="59189723" w14:textId="77777777" w:rsidTr="00B179B6">
        <w:trPr>
          <w:trHeight w:val="20"/>
        </w:trPr>
        <w:tc>
          <w:tcPr>
            <w:tcW w:w="384" w:type="pct"/>
            <w:shd w:val="clear" w:color="auto" w:fill="F2F2F2" w:themeFill="background1" w:themeFillShade="F2"/>
            <w:vAlign w:val="center"/>
            <w:hideMark/>
          </w:tcPr>
          <w:p w14:paraId="4E5D05C0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3.</w:t>
            </w:r>
          </w:p>
        </w:tc>
        <w:tc>
          <w:tcPr>
            <w:tcW w:w="3460" w:type="pct"/>
            <w:shd w:val="clear" w:color="auto" w:fill="F2F2F2" w:themeFill="background1" w:themeFillShade="F2"/>
            <w:vAlign w:val="center"/>
            <w:hideMark/>
          </w:tcPr>
          <w:p w14:paraId="61B276F5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Fabricarea produselor de brutărie și a produselor făinoase</w:t>
            </w:r>
          </w:p>
        </w:tc>
        <w:tc>
          <w:tcPr>
            <w:tcW w:w="1156" w:type="pct"/>
            <w:shd w:val="clear" w:color="auto" w:fill="F2F2F2" w:themeFill="background1" w:themeFillShade="F2"/>
            <w:vAlign w:val="center"/>
            <w:hideMark/>
          </w:tcPr>
          <w:p w14:paraId="168A778A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107</w:t>
            </w:r>
          </w:p>
        </w:tc>
      </w:tr>
      <w:tr w:rsidR="00CE70EC" w:rsidRPr="00CE70EC" w14:paraId="6211841E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1F6B07C9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3.1.</w:t>
            </w:r>
          </w:p>
        </w:tc>
        <w:tc>
          <w:tcPr>
            <w:tcW w:w="3460" w:type="pct"/>
            <w:vAlign w:val="center"/>
            <w:hideMark/>
          </w:tcPr>
          <w:p w14:paraId="68167D56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pâinii; fabricarea prăjiturilor și a produselor proaspete de patiserie inclusiv fabricarea pâinii fără gluten; fabricarea prăjiturilor și a produselor proaspete de patiserie fără gluten</w:t>
            </w:r>
          </w:p>
        </w:tc>
        <w:tc>
          <w:tcPr>
            <w:tcW w:w="1156" w:type="pct"/>
            <w:vAlign w:val="center"/>
            <w:hideMark/>
          </w:tcPr>
          <w:p w14:paraId="41D34BD8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1071</w:t>
            </w:r>
          </w:p>
        </w:tc>
      </w:tr>
      <w:tr w:rsidR="00CE70EC" w:rsidRPr="00CE70EC" w14:paraId="7E28FE03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55066D41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3.2.</w:t>
            </w:r>
          </w:p>
        </w:tc>
        <w:tc>
          <w:tcPr>
            <w:tcW w:w="3460" w:type="pct"/>
            <w:vAlign w:val="center"/>
            <w:hideMark/>
          </w:tcPr>
          <w:p w14:paraId="729A4834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biscuiților și pișcoturilor; fabricarea prăjiturilor și a produselor conservate de patiserie, inclusiv fabricarea biscuiților și pișcoturilor fără gluten; fabricarea prăjiturilor și a produselor</w:t>
            </w:r>
          </w:p>
          <w:p w14:paraId="23D0DAD1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conservate de patiserie fără gluten</w:t>
            </w:r>
          </w:p>
        </w:tc>
        <w:tc>
          <w:tcPr>
            <w:tcW w:w="1156" w:type="pct"/>
            <w:vAlign w:val="center"/>
            <w:hideMark/>
          </w:tcPr>
          <w:p w14:paraId="1E675B5F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1072</w:t>
            </w:r>
          </w:p>
        </w:tc>
      </w:tr>
      <w:tr w:rsidR="00CE70EC" w:rsidRPr="00CE70EC" w14:paraId="27A2BBA6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05A5A344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3.3.</w:t>
            </w:r>
          </w:p>
        </w:tc>
        <w:tc>
          <w:tcPr>
            <w:tcW w:w="3460" w:type="pct"/>
            <w:vAlign w:val="center"/>
            <w:hideMark/>
          </w:tcPr>
          <w:p w14:paraId="3E752A04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Fabricarea macaroanelor, tăiețeilor, </w:t>
            </w:r>
            <w:proofErr w:type="spellStart"/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cuș-cușului</w:t>
            </w:r>
            <w:proofErr w:type="spellEnd"/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 și altor produse</w:t>
            </w:r>
          </w:p>
          <w:p w14:paraId="2FD9ABC7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făinoase similare, inclusiv fabricarea macaroanelor, tăițeilor, </w:t>
            </w:r>
            <w:proofErr w:type="spellStart"/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cuș-cușului</w:t>
            </w:r>
            <w:proofErr w:type="spellEnd"/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 și a altor produse făinoase, fără gluten</w:t>
            </w:r>
          </w:p>
        </w:tc>
        <w:tc>
          <w:tcPr>
            <w:tcW w:w="1156" w:type="pct"/>
            <w:vAlign w:val="center"/>
            <w:hideMark/>
          </w:tcPr>
          <w:p w14:paraId="4C9FC058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1073</w:t>
            </w:r>
          </w:p>
        </w:tc>
      </w:tr>
      <w:tr w:rsidR="00CE70EC" w:rsidRPr="00CE70EC" w14:paraId="200E58F5" w14:textId="77777777" w:rsidTr="00B179B6">
        <w:trPr>
          <w:trHeight w:val="20"/>
        </w:trPr>
        <w:tc>
          <w:tcPr>
            <w:tcW w:w="384" w:type="pct"/>
            <w:shd w:val="clear" w:color="auto" w:fill="F2F2F2" w:themeFill="background1" w:themeFillShade="F2"/>
            <w:vAlign w:val="center"/>
            <w:hideMark/>
          </w:tcPr>
          <w:p w14:paraId="29059451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4.</w:t>
            </w:r>
          </w:p>
        </w:tc>
        <w:tc>
          <w:tcPr>
            <w:tcW w:w="3460" w:type="pct"/>
            <w:shd w:val="clear" w:color="auto" w:fill="F2F2F2" w:themeFill="background1" w:themeFillShade="F2"/>
            <w:vAlign w:val="center"/>
            <w:hideMark/>
          </w:tcPr>
          <w:p w14:paraId="5617A611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Fabricarea altor produse alimentare</w:t>
            </w:r>
          </w:p>
        </w:tc>
        <w:tc>
          <w:tcPr>
            <w:tcW w:w="1156" w:type="pct"/>
            <w:shd w:val="clear" w:color="auto" w:fill="F2F2F2" w:themeFill="background1" w:themeFillShade="F2"/>
            <w:vAlign w:val="center"/>
            <w:hideMark/>
          </w:tcPr>
          <w:p w14:paraId="644AAE52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108</w:t>
            </w:r>
          </w:p>
        </w:tc>
      </w:tr>
      <w:tr w:rsidR="00CE70EC" w:rsidRPr="00CE70EC" w14:paraId="7313AFD1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61776853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4.1.</w:t>
            </w:r>
          </w:p>
        </w:tc>
        <w:tc>
          <w:tcPr>
            <w:tcW w:w="3460" w:type="pct"/>
            <w:vAlign w:val="center"/>
            <w:hideMark/>
          </w:tcPr>
          <w:p w14:paraId="3CEA1045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produselor din cacao, a ciocolatei și a produselor zaharoase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ciocolatei și a specialităților de ciocolată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produselor zaharoase: caramele, nuga, fondante, ciocolată albă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dulciurilor sub formă de tablete și pastile</w:t>
            </w:r>
          </w:p>
        </w:tc>
        <w:tc>
          <w:tcPr>
            <w:tcW w:w="1156" w:type="pct"/>
            <w:vAlign w:val="center"/>
            <w:hideMark/>
          </w:tcPr>
          <w:p w14:paraId="7A7EF1EB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1082</w:t>
            </w:r>
          </w:p>
        </w:tc>
      </w:tr>
      <w:tr w:rsidR="00CE70EC" w:rsidRPr="00CE70EC" w14:paraId="13DC3EB2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554CD10C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4.2.</w:t>
            </w:r>
          </w:p>
        </w:tc>
        <w:tc>
          <w:tcPr>
            <w:tcW w:w="3460" w:type="pct"/>
            <w:vAlign w:val="center"/>
            <w:hideMark/>
          </w:tcPr>
          <w:p w14:paraId="7EFC9764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condimentelor și ingredientelor**</w:t>
            </w:r>
          </w:p>
          <w:p w14:paraId="3B48D5F5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-maioneză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mirodeniilor, sosurilor și condimentelor: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făină și pudră de muștar;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muștar preparat etc.</w:t>
            </w:r>
          </w:p>
        </w:tc>
        <w:tc>
          <w:tcPr>
            <w:tcW w:w="1156" w:type="pct"/>
            <w:vAlign w:val="center"/>
            <w:hideMark/>
          </w:tcPr>
          <w:p w14:paraId="7444F0F1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1084</w:t>
            </w:r>
          </w:p>
        </w:tc>
      </w:tr>
      <w:tr w:rsidR="00CE70EC" w:rsidRPr="00CE70EC" w14:paraId="188ED33A" w14:textId="77777777" w:rsidTr="00B179B6">
        <w:trPr>
          <w:trHeight w:val="20"/>
        </w:trPr>
        <w:tc>
          <w:tcPr>
            <w:tcW w:w="384" w:type="pct"/>
            <w:vAlign w:val="center"/>
          </w:tcPr>
          <w:p w14:paraId="035DF0EF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4.3</w:t>
            </w:r>
          </w:p>
        </w:tc>
        <w:tc>
          <w:tcPr>
            <w:tcW w:w="3460" w:type="pct"/>
            <w:vAlign w:val="center"/>
          </w:tcPr>
          <w:p w14:paraId="45F0B221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de mâncăruri preparate</w:t>
            </w:r>
          </w:p>
          <w:p w14:paraId="3DEE6365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-fabricarea de pizza congelată sau altfel conservată</w:t>
            </w:r>
          </w:p>
        </w:tc>
        <w:tc>
          <w:tcPr>
            <w:tcW w:w="1156" w:type="pct"/>
            <w:vAlign w:val="center"/>
          </w:tcPr>
          <w:p w14:paraId="7D67F780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1085</w:t>
            </w:r>
          </w:p>
        </w:tc>
      </w:tr>
      <w:tr w:rsidR="00CE70EC" w:rsidRPr="00CE70EC" w14:paraId="5C587427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3A4A16F0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4.4.</w:t>
            </w:r>
          </w:p>
        </w:tc>
        <w:tc>
          <w:tcPr>
            <w:tcW w:w="3460" w:type="pct"/>
            <w:vAlign w:val="center"/>
            <w:hideMark/>
          </w:tcPr>
          <w:p w14:paraId="475EB7E0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preparatelor alimentare omogenizate și a alimentelor dietetice, excluzând fabricarea produselor fără gluten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alimentelor pentru utilizări nutriționale speciale: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lapte praf pentru sugari;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lapte și alte alimente speciale pentru copii mici;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alimente pentru sugari;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alimente cu aport scăzut și redus de calorii, pentru controlul greutății;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alimente dietetice pentru scopuri medicale speciale;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alimente cu conținut scăzut de sodiu, inclusiv sare fără sodiu sau sare dietetică fără sodiu;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alimente destinate consumului în cazul efortului muscular intens, în special pentru sportivi;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alimente pentru persoane care suferă de tulburări ale metabolismului carbohidraților (diabet)</w:t>
            </w:r>
          </w:p>
        </w:tc>
        <w:tc>
          <w:tcPr>
            <w:tcW w:w="1156" w:type="pct"/>
            <w:vAlign w:val="center"/>
            <w:hideMark/>
          </w:tcPr>
          <w:p w14:paraId="17C0D92E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1086</w:t>
            </w:r>
          </w:p>
        </w:tc>
      </w:tr>
      <w:tr w:rsidR="00CE70EC" w:rsidRPr="00CE70EC" w14:paraId="4394C458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486CF015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lastRenderedPageBreak/>
              <w:t>4.5.</w:t>
            </w:r>
          </w:p>
        </w:tc>
        <w:tc>
          <w:tcPr>
            <w:tcW w:w="3460" w:type="pct"/>
            <w:vAlign w:val="center"/>
            <w:hideMark/>
          </w:tcPr>
          <w:p w14:paraId="16432F65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Fabricarea altor produse alimentare </w:t>
            </w:r>
            <w:proofErr w:type="spellStart"/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n.c.a</w:t>
            </w:r>
            <w:proofErr w:type="spellEnd"/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.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fabricarea produselor din ouă, a albuminei din ouă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drojdiei*** de bere</w:t>
            </w:r>
          </w:p>
          <w:p w14:paraId="2A7E0066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-fabricarea alimentelor perisabile-pizza proaspătă (necoaptă)</w:t>
            </w:r>
          </w:p>
          <w:p w14:paraId="3EE20034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-fabricarea de supe și ciorbe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laptelui obținut în afara lăptăriilor și a înlocuitorilor de brânză</w:t>
            </w:r>
          </w:p>
          <w:p w14:paraId="7F2E98BD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-fabricarea adaosurilor alimentare și altor produse alimentare****</w:t>
            </w:r>
          </w:p>
        </w:tc>
        <w:tc>
          <w:tcPr>
            <w:tcW w:w="1156" w:type="pct"/>
            <w:vAlign w:val="center"/>
            <w:hideMark/>
          </w:tcPr>
          <w:p w14:paraId="39A6804C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1089</w:t>
            </w:r>
          </w:p>
        </w:tc>
      </w:tr>
      <w:tr w:rsidR="00CE70EC" w:rsidRPr="00CE70EC" w14:paraId="36A9A488" w14:textId="77777777" w:rsidTr="00B179B6">
        <w:trPr>
          <w:trHeight w:val="20"/>
        </w:trPr>
        <w:tc>
          <w:tcPr>
            <w:tcW w:w="384" w:type="pct"/>
            <w:shd w:val="clear" w:color="auto" w:fill="F2F2F2" w:themeFill="background1" w:themeFillShade="F2"/>
            <w:vAlign w:val="center"/>
            <w:hideMark/>
          </w:tcPr>
          <w:p w14:paraId="3D3D2A8D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5.</w:t>
            </w:r>
          </w:p>
        </w:tc>
        <w:tc>
          <w:tcPr>
            <w:tcW w:w="3460" w:type="pct"/>
            <w:shd w:val="clear" w:color="auto" w:fill="F2F2F2" w:themeFill="background1" w:themeFillShade="F2"/>
            <w:vAlign w:val="center"/>
            <w:hideMark/>
          </w:tcPr>
          <w:p w14:paraId="6E96411B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Fabricarea băuturilor</w:t>
            </w:r>
          </w:p>
        </w:tc>
        <w:tc>
          <w:tcPr>
            <w:tcW w:w="1156" w:type="pct"/>
            <w:shd w:val="clear" w:color="auto" w:fill="F2F2F2" w:themeFill="background1" w:themeFillShade="F2"/>
            <w:vAlign w:val="center"/>
            <w:hideMark/>
          </w:tcPr>
          <w:p w14:paraId="154C9981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</w:rPr>
              <w:t>110</w:t>
            </w:r>
          </w:p>
        </w:tc>
      </w:tr>
      <w:tr w:rsidR="00CE70EC" w:rsidRPr="00CE70EC" w14:paraId="79CC8725" w14:textId="77777777" w:rsidTr="00B179B6">
        <w:trPr>
          <w:trHeight w:val="20"/>
        </w:trPr>
        <w:tc>
          <w:tcPr>
            <w:tcW w:w="384" w:type="pct"/>
            <w:vAlign w:val="center"/>
            <w:hideMark/>
          </w:tcPr>
          <w:p w14:paraId="2519D7DD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5.1.</w:t>
            </w:r>
          </w:p>
        </w:tc>
        <w:tc>
          <w:tcPr>
            <w:tcW w:w="3460" w:type="pct"/>
            <w:vAlign w:val="center"/>
            <w:hideMark/>
          </w:tcPr>
          <w:p w14:paraId="6B7B06AF" w14:textId="77777777" w:rsidR="00CE70EC" w:rsidRPr="00CE70EC" w:rsidRDefault="00CE70EC" w:rsidP="00CE70EC">
            <w:pPr>
              <w:spacing w:line="276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Fabricarea berii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băuturilor din malț, cum sunt berea, berea neagră</w:t>
            </w: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br/>
              <w:t>- fabricarea berii cu conținut redus de alcool și a berii fără alcool</w:t>
            </w:r>
          </w:p>
        </w:tc>
        <w:tc>
          <w:tcPr>
            <w:tcW w:w="1156" w:type="pct"/>
            <w:vAlign w:val="center"/>
            <w:hideMark/>
          </w:tcPr>
          <w:p w14:paraId="69BC59C3" w14:textId="77777777" w:rsidR="00CE70EC" w:rsidRPr="00CE70EC" w:rsidRDefault="00CE70EC" w:rsidP="00CE70EC">
            <w:pPr>
              <w:spacing w:line="276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E70EC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1105</w:t>
            </w:r>
          </w:p>
        </w:tc>
      </w:tr>
    </w:tbl>
    <w:p w14:paraId="31A0E711" w14:textId="584CA5F2" w:rsidR="00CE70EC" w:rsidRPr="00CE70EC" w:rsidRDefault="00CE70EC" w:rsidP="00CE70EC">
      <w:pPr>
        <w:spacing w:after="100" w:line="276" w:lineRule="auto"/>
        <w:textAlignment w:val="baseline"/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</w:pPr>
      <w:r w:rsidRPr="00CE70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* inclusiv grâu numit bulgur</w:t>
      </w:r>
      <w:r w:rsidRPr="00CE70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br/>
        <w:t>** cu excepția condimentelor care sunt incluse în Anexa I la TFUE</w:t>
      </w:r>
      <w:r w:rsidRPr="00CE70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br/>
        <w:t>*** inclusiv drojdia de panificație</w:t>
      </w:r>
      <w:r w:rsidRPr="00CE70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br/>
        <w:t>**** inclusiv fabricarea borșului</w:t>
      </w:r>
    </w:p>
    <w:p w14:paraId="4CBB48F3" w14:textId="2349807B" w:rsidR="008D1279" w:rsidRPr="00CE70EC" w:rsidRDefault="00017E8E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spacing w:after="100" w:line="276" w:lineRule="auto"/>
        <w:ind w:left="284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P</w:t>
      </w:r>
      <w:r w:rsidR="00CE70EC"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ontozási</w:t>
      </w: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 kritériumok</w:t>
      </w:r>
    </w:p>
    <w:p w14:paraId="3B2E7E59" w14:textId="7ED0A242" w:rsidR="000430D7" w:rsidRPr="00CE70EC" w:rsidRDefault="00CE70EC" w:rsidP="00CE70EC">
      <w:p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Küszöbérték: 45</w:t>
      </w:r>
      <w:r w:rsidR="003571D3"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 pont</w:t>
      </w: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(</w:t>
      </w:r>
      <w:r w:rsidR="003571D3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mind a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 kezdő</w:t>
      </w:r>
      <w:r w:rsidR="003571D3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, mind a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fejlesztési</w:t>
      </w:r>
      <w:r w:rsidR="003571D3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 komponens esetében,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 a </w:t>
      </w:r>
      <w:r w:rsidR="003571D3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küszö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bérték</w:t>
      </w:r>
      <w:r w:rsidR="003571D3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 alatt egyetlen projekt sem részesülhet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finanszírozásban)</w:t>
      </w:r>
    </w:p>
    <w:p w14:paraId="3B7604D1" w14:textId="618D4A5E" w:rsidR="000A3F11" w:rsidRPr="00CE70EC" w:rsidRDefault="00BA044F" w:rsidP="00CE70EC">
      <w:pPr>
        <w:spacing w:after="100" w:line="276" w:lineRule="auto"/>
        <w:jc w:val="both"/>
        <w:textAlignment w:val="baseline"/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hu-HU"/>
          <w14:ligatures w14:val="none"/>
        </w:rPr>
        <w:t>Részletes információkért kérjük, olvassa el a mellékelt dokumentumot, amely tartalmazza a "</w:t>
      </w:r>
      <w:r w:rsidR="00CE70EC" w:rsidRPr="00CE70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hu-HU"/>
          <w14:ligatures w14:val="none"/>
        </w:rPr>
        <w:t>Pontozási kritériumokat</w:t>
      </w:r>
      <w:r w:rsidRPr="00CE70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hu-HU"/>
          <w14:ligatures w14:val="none"/>
        </w:rPr>
        <w:t>".</w:t>
      </w:r>
    </w:p>
    <w:p w14:paraId="4A00C4B9" w14:textId="698552EE" w:rsidR="000A3F11" w:rsidRPr="00CE70EC" w:rsidRDefault="000A3F11" w:rsidP="00CE70EC">
      <w:pPr>
        <w:pStyle w:val="ListParagraph"/>
        <w:numPr>
          <w:ilvl w:val="0"/>
          <w:numId w:val="11"/>
        </w:numPr>
        <w:shd w:val="clear" w:color="auto" w:fill="D0CECE" w:themeFill="background2" w:themeFillShade="E6"/>
        <w:spacing w:after="100" w:line="276" w:lineRule="auto"/>
        <w:ind w:left="284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Szótár</w:t>
      </w:r>
    </w:p>
    <w:p w14:paraId="2ADCCCF5" w14:textId="3B27C538" w:rsidR="000A3F11" w:rsidRPr="00CE70EC" w:rsidRDefault="000A3F11" w:rsidP="00CE70EC">
      <w:pPr>
        <w:pStyle w:val="ListParagraph"/>
        <w:numPr>
          <w:ilvl w:val="0"/>
          <w:numId w:val="50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Kondicionálás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– előválogatás, válogatás, osztályozás, vágás, vágás (levelek, szárak és gyökerek vágása – hüvelyesek és gyökerek esetében), mosás-szedés, tisztítás, gyantázás, polírozás, kötés, csomagolás, szárítás (nem tévesztendő össze a feldolgozásnak minősülő dehidratációval), mezőgazdasági termékek ellenőrzött körülmények között történő tárolása (hőmérséklet, páratartalom, atmoszféra), hűtés, törés, hámozás, a mag héjtól való elválasztása, magválogatás és egyéb műveletek mezőgazdasági termékek előkészítése tárolásra és/vagy friss fogyasztásra vagy iparosításra történő szállításra;</w:t>
      </w:r>
    </w:p>
    <w:p w14:paraId="21083827" w14:textId="6D1BB731" w:rsidR="000A3F11" w:rsidRPr="00CE70EC" w:rsidRDefault="000A3F11" w:rsidP="00CE70EC">
      <w:pPr>
        <w:pStyle w:val="ListParagraph"/>
        <w:numPr>
          <w:ilvl w:val="0"/>
          <w:numId w:val="50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Egy meglévő egység termelésének diverzifikálása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olyan termékek beszerzését jelenti, amelyeket korábban nem gyártottak az adott egységben (a projekt benyújtása előtt), ami azt jelenti, hogy az új termékek hozzáadódnak a már gyártott választékhoz/termékkörhöz.</w:t>
      </w:r>
    </w:p>
    <w:p w14:paraId="5F76D49A" w14:textId="5B70DF4B" w:rsidR="000A3F11" w:rsidRPr="00CE70EC" w:rsidRDefault="000A3F11" w:rsidP="00CE70EC">
      <w:pPr>
        <w:pStyle w:val="ListParagraph"/>
        <w:numPr>
          <w:ilvl w:val="0"/>
          <w:numId w:val="50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A termelő </w:t>
      </w:r>
      <w:r w:rsidR="00CE70EC"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egység</w:t>
      </w: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 tevékenységének diverzifikálása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új tevékenység folytatását jelenti, feltéve, hogy az új támogatható tevékenység nem azono</w:t>
      </w:r>
      <w:r w:rsidR="00CE70EC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s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>vagy hasonló az adott létesítményben korábban végzett tevékenységgel.</w:t>
      </w:r>
    </w:p>
    <w:p w14:paraId="1EA6D2F9" w14:textId="2B6CCE18" w:rsidR="000A3F11" w:rsidRPr="00CE70EC" w:rsidRDefault="00CE70EC" w:rsidP="00CE70EC">
      <w:pPr>
        <w:pStyle w:val="ListParagraph"/>
        <w:numPr>
          <w:ilvl w:val="0"/>
          <w:numId w:val="50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Fejlesztés</w:t>
      </w:r>
      <w:r w:rsidR="000A3F11"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 – a termelési kapacitás bővítésével, a tevékenység diverzifikációjával, a termelés diverzifikációjával, alapvető változással kapcsolatos beruházásokat jelenti;</w:t>
      </w:r>
    </w:p>
    <w:p w14:paraId="037D5911" w14:textId="0793C084" w:rsidR="00861F1A" w:rsidRPr="00CE70EC" w:rsidRDefault="000A3F11" w:rsidP="00CE70EC">
      <w:pPr>
        <w:pStyle w:val="ListParagraph"/>
        <w:numPr>
          <w:ilvl w:val="0"/>
          <w:numId w:val="50"/>
        </w:numPr>
        <w:spacing w:after="100" w:line="276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</w:pP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 xml:space="preserve">A mezőgazdasági termékek 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R(EU) 651/2014/EU meghatározása szerinti </w:t>
      </w:r>
      <w:r w:rsidRPr="00CE70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hu-HU"/>
          <w14:ligatures w14:val="none"/>
        </w:rPr>
        <w:t>feldolgozása</w:t>
      </w:r>
      <w:r w:rsidRPr="00CE70EC">
        <w:rPr>
          <w:rFonts w:ascii="Arial" w:eastAsia="Times New Roman" w:hAnsi="Arial" w:cs="Arial"/>
          <w:color w:val="000000"/>
          <w:kern w:val="0"/>
          <w:sz w:val="20"/>
          <w:szCs w:val="20"/>
          <w:lang w:val="hu-HU"/>
          <w14:ligatures w14:val="none"/>
        </w:rPr>
        <w:t xml:space="preserve"> a mezőgazdasági terméken végzett minden olyan művelet, amelynek eredményeként olyan termék jön létre, amely egyben mezőgazdasági termék is, kivéve a mezőgazdasági üzemekben végzett tevékenységeket, amelyek az állati vagy növényi eredetű termék első értékesítésre való előkészítéséhez szükségesek.</w:t>
      </w:r>
    </w:p>
    <w:sectPr w:rsidR="00861F1A" w:rsidRPr="00CE70EC" w:rsidSect="004163E5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728F3" w14:textId="77777777" w:rsidR="00D663D6" w:rsidRDefault="00D663D6" w:rsidP="00AA2ADF">
      <w:pPr>
        <w:spacing w:after="0" w:line="240" w:lineRule="auto"/>
      </w:pPr>
      <w:r>
        <w:separator/>
      </w:r>
    </w:p>
  </w:endnote>
  <w:endnote w:type="continuationSeparator" w:id="0">
    <w:p w14:paraId="7D558346" w14:textId="77777777" w:rsidR="00D663D6" w:rsidRDefault="00D663D6" w:rsidP="00AA2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664518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4808D" w14:textId="539EF29B" w:rsidR="00CE70EC" w:rsidRPr="00CE70EC" w:rsidRDefault="00CE70EC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CE70EC">
          <w:rPr>
            <w:rFonts w:ascii="Arial" w:hAnsi="Arial" w:cs="Arial"/>
            <w:sz w:val="20"/>
            <w:szCs w:val="20"/>
          </w:rPr>
          <w:fldChar w:fldCharType="begin"/>
        </w:r>
        <w:r w:rsidRPr="00CE70E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CE70EC">
          <w:rPr>
            <w:rFonts w:ascii="Arial" w:hAnsi="Arial" w:cs="Arial"/>
            <w:sz w:val="20"/>
            <w:szCs w:val="20"/>
          </w:rPr>
          <w:fldChar w:fldCharType="separate"/>
        </w:r>
        <w:r w:rsidRPr="00CE70EC">
          <w:rPr>
            <w:rFonts w:ascii="Arial" w:hAnsi="Arial" w:cs="Arial"/>
            <w:noProof/>
            <w:sz w:val="20"/>
            <w:szCs w:val="20"/>
          </w:rPr>
          <w:t>2</w:t>
        </w:r>
        <w:r w:rsidRPr="00CE70EC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6126506D" w14:textId="77777777" w:rsidR="0066742A" w:rsidRPr="00CE70EC" w:rsidRDefault="0066742A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7B82" w14:textId="77777777" w:rsidR="00D663D6" w:rsidRDefault="00D663D6" w:rsidP="00AA2ADF">
      <w:pPr>
        <w:spacing w:after="0" w:line="240" w:lineRule="auto"/>
      </w:pPr>
      <w:r>
        <w:separator/>
      </w:r>
    </w:p>
  </w:footnote>
  <w:footnote w:type="continuationSeparator" w:id="0">
    <w:p w14:paraId="1A633134" w14:textId="77777777" w:rsidR="00D663D6" w:rsidRDefault="00D663D6" w:rsidP="00AA2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D97E" w14:textId="77777777" w:rsidR="00CE70EC" w:rsidRPr="00080ABC" w:rsidRDefault="00CE70EC" w:rsidP="00CE70EC">
    <w:pPr>
      <w:spacing w:after="40"/>
      <w:rPr>
        <w:rFonts w:ascii="Arial" w:eastAsia="Times New Roman" w:hAnsi="Arial" w:cs="Arial"/>
        <w:b/>
        <w:sz w:val="20"/>
        <w:szCs w:val="20"/>
        <w:lang w:eastAsia="ro-RO"/>
      </w:rPr>
    </w:pPr>
    <w:r w:rsidRPr="00080ABC">
      <w:rPr>
        <w:noProof/>
      </w:rPr>
      <w:drawing>
        <wp:anchor distT="0" distB="0" distL="114300" distR="114300" simplePos="0" relativeHeight="251659264" behindDoc="0" locked="0" layoutInCell="1" allowOverlap="1" wp14:anchorId="269AA410" wp14:editId="1594AE31">
          <wp:simplePos x="0" y="0"/>
          <wp:positionH relativeFrom="column">
            <wp:posOffset>4762500</wp:posOffset>
          </wp:positionH>
          <wp:positionV relativeFrom="paragraph">
            <wp:posOffset>24765</wp:posOffset>
          </wp:positionV>
          <wp:extent cx="965200" cy="844550"/>
          <wp:effectExtent l="0" t="0" r="0" b="0"/>
          <wp:wrapSquare wrapText="bothSides"/>
          <wp:docPr id="1228152169" name="Picture 1228152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5200" cy="844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080ABC">
      <w:rPr>
        <w:rFonts w:ascii="Arial" w:eastAsia="Times New Roman" w:hAnsi="Arial" w:cs="Arial"/>
        <w:b/>
        <w:sz w:val="20"/>
        <w:szCs w:val="20"/>
        <w:lang w:eastAsia="ro-RO"/>
      </w:rPr>
      <w:t>Startup</w:t>
    </w:r>
    <w:proofErr w:type="spellEnd"/>
    <w:r w:rsidRPr="00080ABC">
      <w:rPr>
        <w:rFonts w:ascii="Arial" w:eastAsia="Times New Roman" w:hAnsi="Arial" w:cs="Arial"/>
        <w:b/>
        <w:sz w:val="20"/>
        <w:szCs w:val="20"/>
        <w:lang w:eastAsia="ro-RO"/>
      </w:rPr>
      <w:t xml:space="preserve"> Hub Consulting </w:t>
    </w:r>
    <w:proofErr w:type="spellStart"/>
    <w:r w:rsidRPr="00080ABC">
      <w:rPr>
        <w:rFonts w:ascii="Arial" w:eastAsia="Times New Roman" w:hAnsi="Arial" w:cs="Arial"/>
        <w:b/>
        <w:sz w:val="20"/>
        <w:szCs w:val="20"/>
        <w:lang w:eastAsia="ro-RO"/>
      </w:rPr>
      <w:t>and</w:t>
    </w:r>
    <w:proofErr w:type="spellEnd"/>
    <w:r w:rsidRPr="00080ABC">
      <w:rPr>
        <w:rFonts w:ascii="Arial" w:eastAsia="Times New Roman" w:hAnsi="Arial" w:cs="Arial"/>
        <w:b/>
        <w:sz w:val="20"/>
        <w:szCs w:val="20"/>
        <w:lang w:eastAsia="ro-RO"/>
      </w:rPr>
      <w:t xml:space="preserve"> Management S.R.L. (</w:t>
    </w:r>
    <w:proofErr w:type="spellStart"/>
    <w:r w:rsidRPr="00080ABC">
      <w:rPr>
        <w:rFonts w:ascii="Arial" w:eastAsia="Times New Roman" w:hAnsi="Arial" w:cs="Arial"/>
        <w:b/>
        <w:i/>
        <w:iCs/>
        <w:sz w:val="20"/>
        <w:szCs w:val="20"/>
        <w:lang w:eastAsia="ro-RO"/>
      </w:rPr>
      <w:t>Startup</w:t>
    </w:r>
    <w:proofErr w:type="spellEnd"/>
    <w:r w:rsidRPr="00080ABC">
      <w:rPr>
        <w:rFonts w:ascii="Arial" w:eastAsia="Times New Roman" w:hAnsi="Arial" w:cs="Arial"/>
        <w:b/>
        <w:i/>
        <w:iCs/>
        <w:sz w:val="20"/>
        <w:szCs w:val="20"/>
        <w:lang w:eastAsia="ro-RO"/>
      </w:rPr>
      <w:t xml:space="preserve"> HUB Consulting</w:t>
    </w:r>
    <w:r w:rsidRPr="00080ABC">
      <w:rPr>
        <w:rFonts w:ascii="Arial" w:eastAsia="Times New Roman" w:hAnsi="Arial" w:cs="Arial"/>
        <w:b/>
        <w:sz w:val="20"/>
        <w:szCs w:val="20"/>
        <w:lang w:eastAsia="ro-RO"/>
      </w:rPr>
      <w:t>)</w:t>
    </w:r>
  </w:p>
  <w:p w14:paraId="370CABE3" w14:textId="77777777" w:rsidR="00CE70EC" w:rsidRPr="00080ABC" w:rsidRDefault="00CE70EC" w:rsidP="00CE70EC">
    <w:pPr>
      <w:tabs>
        <w:tab w:val="left" w:pos="5095"/>
      </w:tabs>
      <w:spacing w:after="40"/>
      <w:rPr>
        <w:rFonts w:ascii="Arial" w:eastAsia="Times New Roman" w:hAnsi="Arial" w:cs="Arial"/>
        <w:bCs/>
        <w:sz w:val="20"/>
        <w:szCs w:val="20"/>
        <w:lang w:eastAsia="ro-RO"/>
      </w:rPr>
    </w:pPr>
    <w:r w:rsidRPr="00080ABC">
      <w:rPr>
        <w:rFonts w:ascii="Arial" w:eastAsia="Times New Roman" w:hAnsi="Arial" w:cs="Arial"/>
        <w:bCs/>
        <w:sz w:val="20"/>
        <w:szCs w:val="20"/>
        <w:lang w:eastAsia="ro-RO"/>
      </w:rPr>
      <w:t xml:space="preserve">C.U.I.: 46824515, Nr. </w:t>
    </w:r>
    <w:proofErr w:type="spellStart"/>
    <w:r w:rsidRPr="00080ABC">
      <w:rPr>
        <w:rFonts w:ascii="Arial" w:eastAsia="Times New Roman" w:hAnsi="Arial" w:cs="Arial"/>
        <w:bCs/>
        <w:sz w:val="20"/>
        <w:szCs w:val="20"/>
        <w:lang w:eastAsia="ro-RO"/>
      </w:rPr>
      <w:t>înreg</w:t>
    </w:r>
    <w:proofErr w:type="spellEnd"/>
    <w:r w:rsidRPr="00080ABC">
      <w:rPr>
        <w:rFonts w:ascii="Arial" w:eastAsia="Times New Roman" w:hAnsi="Arial" w:cs="Arial"/>
        <w:bCs/>
        <w:sz w:val="20"/>
        <w:szCs w:val="20"/>
        <w:lang w:eastAsia="ro-RO"/>
      </w:rPr>
      <w:t>. ORC: J14/364/2022</w:t>
    </w:r>
  </w:p>
  <w:p w14:paraId="7C2AF9A1" w14:textId="77777777" w:rsidR="00CE70EC" w:rsidRPr="00080ABC" w:rsidRDefault="00CE70EC" w:rsidP="00CE70EC">
    <w:pPr>
      <w:spacing w:after="40"/>
      <w:rPr>
        <w:rFonts w:ascii="Arial" w:eastAsia="Times New Roman" w:hAnsi="Arial" w:cs="Arial"/>
        <w:bCs/>
        <w:sz w:val="20"/>
        <w:szCs w:val="20"/>
        <w:lang w:eastAsia="ro-RO"/>
      </w:rPr>
    </w:pPr>
    <w:r w:rsidRPr="00080ABC">
      <w:rPr>
        <w:rFonts w:ascii="Arial" w:eastAsia="Times New Roman" w:hAnsi="Arial" w:cs="Arial"/>
        <w:bCs/>
        <w:sz w:val="20"/>
        <w:szCs w:val="20"/>
        <w:lang w:eastAsia="ro-RO"/>
      </w:rPr>
      <w:t xml:space="preserve">Mun. Sfântu Gheorghe, str. </w:t>
    </w:r>
    <w:r>
      <w:rPr>
        <w:rFonts w:ascii="Arial" w:eastAsia="Times New Roman" w:hAnsi="Arial" w:cs="Arial"/>
        <w:bCs/>
        <w:sz w:val="20"/>
        <w:szCs w:val="20"/>
        <w:lang w:eastAsia="ro-RO"/>
      </w:rPr>
      <w:t>Oltului, nr. 9</w:t>
    </w:r>
    <w:r w:rsidRPr="00080ABC">
      <w:rPr>
        <w:rFonts w:ascii="Arial" w:eastAsia="Times New Roman" w:hAnsi="Arial" w:cs="Arial"/>
        <w:bCs/>
        <w:sz w:val="20"/>
        <w:szCs w:val="20"/>
        <w:lang w:eastAsia="ro-RO"/>
      </w:rPr>
      <w:t>, județul Covasna</w:t>
    </w:r>
  </w:p>
  <w:p w14:paraId="17B79159" w14:textId="77777777" w:rsidR="00CE70EC" w:rsidRDefault="00CE70EC" w:rsidP="00CE70EC">
    <w:pPr>
      <w:spacing w:after="40"/>
      <w:rPr>
        <w:rFonts w:ascii="Arial" w:eastAsia="Times New Roman" w:hAnsi="Arial" w:cs="Arial"/>
        <w:bCs/>
        <w:sz w:val="20"/>
        <w:szCs w:val="20"/>
        <w:lang w:eastAsia="ro-RO"/>
      </w:rPr>
    </w:pPr>
    <w:r w:rsidRPr="00080ABC">
      <w:rPr>
        <w:rFonts w:ascii="Arial" w:eastAsia="Times New Roman" w:hAnsi="Arial" w:cs="Arial"/>
        <w:bCs/>
        <w:sz w:val="20"/>
        <w:szCs w:val="20"/>
        <w:lang w:eastAsia="ro-RO"/>
      </w:rPr>
      <w:t xml:space="preserve">Telefon: +40 739 533 355, e-mail: </w:t>
    </w:r>
    <w:r w:rsidRPr="00E325CE">
      <w:rPr>
        <w:rFonts w:ascii="Arial" w:eastAsia="Times New Roman" w:hAnsi="Arial" w:cs="Arial"/>
        <w:bCs/>
        <w:sz w:val="20"/>
        <w:szCs w:val="20"/>
        <w:lang w:eastAsia="ro-RO"/>
      </w:rPr>
      <w:t>consulting@startup-hub.ro</w:t>
    </w:r>
  </w:p>
  <w:p w14:paraId="5AA541C4" w14:textId="77777777" w:rsidR="00E325CE" w:rsidRPr="00CE70EC" w:rsidRDefault="00E325CE" w:rsidP="00CE70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8" type="#_x0000_t75" style="width:11.35pt;height:11.35pt;visibility:visible;mso-wrap-style:square" o:bullet="t">
        <v:imagedata r:id="rId1" o:title=""/>
      </v:shape>
    </w:pict>
  </w:numPicBullet>
  <w:abstractNum w:abstractNumId="0" w15:restartNumberingAfterBreak="0">
    <w:nsid w:val="00F312B7"/>
    <w:multiLevelType w:val="hybridMultilevel"/>
    <w:tmpl w:val="D10C5BB8"/>
    <w:lvl w:ilvl="0" w:tplc="41B631A6">
      <w:start w:val="1"/>
      <w:numFmt w:val="bullet"/>
      <w:lvlText w:val="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686E14"/>
    <w:multiLevelType w:val="hybridMultilevel"/>
    <w:tmpl w:val="80AA8E6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FD2087"/>
    <w:multiLevelType w:val="hybridMultilevel"/>
    <w:tmpl w:val="01A69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32237"/>
    <w:multiLevelType w:val="hybridMultilevel"/>
    <w:tmpl w:val="BFC47CD4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5DC789B"/>
    <w:multiLevelType w:val="hybridMultilevel"/>
    <w:tmpl w:val="ABE26D58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07310451"/>
    <w:multiLevelType w:val="hybridMultilevel"/>
    <w:tmpl w:val="ED5EF0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2C6F026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74E4C"/>
    <w:multiLevelType w:val="hybridMultilevel"/>
    <w:tmpl w:val="61F8CF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E86F58"/>
    <w:multiLevelType w:val="hybridMultilevel"/>
    <w:tmpl w:val="A7C47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133644"/>
    <w:multiLevelType w:val="hybridMultilevel"/>
    <w:tmpl w:val="54E2D8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55289"/>
    <w:multiLevelType w:val="hybridMultilevel"/>
    <w:tmpl w:val="47004050"/>
    <w:lvl w:ilvl="0" w:tplc="44C24F54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C042C"/>
    <w:multiLevelType w:val="hybridMultilevel"/>
    <w:tmpl w:val="8CCABDD6"/>
    <w:lvl w:ilvl="0" w:tplc="41B631A6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583691A"/>
    <w:multiLevelType w:val="hybridMultilevel"/>
    <w:tmpl w:val="D24A0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00508"/>
    <w:multiLevelType w:val="hybridMultilevel"/>
    <w:tmpl w:val="3D068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CB16A0"/>
    <w:multiLevelType w:val="hybridMultilevel"/>
    <w:tmpl w:val="2990DF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D12DA"/>
    <w:multiLevelType w:val="multilevel"/>
    <w:tmpl w:val="BBCC35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F36A49"/>
    <w:multiLevelType w:val="hybridMultilevel"/>
    <w:tmpl w:val="0BBC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FE666B"/>
    <w:multiLevelType w:val="hybridMultilevel"/>
    <w:tmpl w:val="D1BEE7A0"/>
    <w:lvl w:ilvl="0" w:tplc="41B631A6">
      <w:start w:val="1"/>
      <w:numFmt w:val="bullet"/>
      <w:lvlText w:val=""/>
      <w:lvlJc w:val="left"/>
      <w:pPr>
        <w:ind w:left="6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17" w15:restartNumberingAfterBreak="0">
    <w:nsid w:val="1A47458B"/>
    <w:multiLevelType w:val="hybridMultilevel"/>
    <w:tmpl w:val="67767F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1B62D1"/>
    <w:multiLevelType w:val="hybridMultilevel"/>
    <w:tmpl w:val="6436D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9D6CA6"/>
    <w:multiLevelType w:val="hybridMultilevel"/>
    <w:tmpl w:val="C8C49F1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F4E31AF"/>
    <w:multiLevelType w:val="hybridMultilevel"/>
    <w:tmpl w:val="8896755E"/>
    <w:lvl w:ilvl="0" w:tplc="D0828EB6">
      <w:start w:val="1"/>
      <w:numFmt w:val="bullet"/>
      <w:lvlText w:val="»"/>
      <w:lvlJc w:val="left"/>
      <w:pPr>
        <w:ind w:left="64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21795ACE"/>
    <w:multiLevelType w:val="hybridMultilevel"/>
    <w:tmpl w:val="C9380754"/>
    <w:lvl w:ilvl="0" w:tplc="41B631A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3214B7"/>
    <w:multiLevelType w:val="hybridMultilevel"/>
    <w:tmpl w:val="E78A3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AB099A"/>
    <w:multiLevelType w:val="hybridMultilevel"/>
    <w:tmpl w:val="CFBA9266"/>
    <w:lvl w:ilvl="0" w:tplc="B07ABAF4">
      <w:start w:val="10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4F524D"/>
    <w:multiLevelType w:val="hybridMultilevel"/>
    <w:tmpl w:val="5A666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7094934"/>
    <w:multiLevelType w:val="hybridMultilevel"/>
    <w:tmpl w:val="70B07A84"/>
    <w:lvl w:ilvl="0" w:tplc="44C24F54">
      <w:start w:val="1"/>
      <w:numFmt w:val="bullet"/>
      <w:lvlText w:val="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27D24F61"/>
    <w:multiLevelType w:val="hybridMultilevel"/>
    <w:tmpl w:val="13062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7A049A"/>
    <w:multiLevelType w:val="hybridMultilevel"/>
    <w:tmpl w:val="5E042E9A"/>
    <w:lvl w:ilvl="0" w:tplc="41B631A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DE1324"/>
    <w:multiLevelType w:val="hybridMultilevel"/>
    <w:tmpl w:val="D30280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0C775D"/>
    <w:multiLevelType w:val="hybridMultilevel"/>
    <w:tmpl w:val="42229D80"/>
    <w:lvl w:ilvl="0" w:tplc="E962D8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277D7D"/>
    <w:multiLevelType w:val="hybridMultilevel"/>
    <w:tmpl w:val="0706B01E"/>
    <w:lvl w:ilvl="0" w:tplc="CDDE3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D41DAB"/>
    <w:multiLevelType w:val="hybridMultilevel"/>
    <w:tmpl w:val="32CE5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1B623E"/>
    <w:multiLevelType w:val="hybridMultilevel"/>
    <w:tmpl w:val="CE726B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65F3C"/>
    <w:multiLevelType w:val="hybridMultilevel"/>
    <w:tmpl w:val="752C85D8"/>
    <w:lvl w:ilvl="0" w:tplc="44C24F54">
      <w:start w:val="1"/>
      <w:numFmt w:val="bullet"/>
      <w:lvlText w:val="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C61D82"/>
    <w:multiLevelType w:val="hybridMultilevel"/>
    <w:tmpl w:val="845C2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6F4E36"/>
    <w:multiLevelType w:val="hybridMultilevel"/>
    <w:tmpl w:val="71729E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2DE0E09"/>
    <w:multiLevelType w:val="hybridMultilevel"/>
    <w:tmpl w:val="C0424928"/>
    <w:lvl w:ilvl="0" w:tplc="E6C827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52731C"/>
    <w:multiLevelType w:val="hybridMultilevel"/>
    <w:tmpl w:val="71B6D4F4"/>
    <w:lvl w:ilvl="0" w:tplc="D0828EB6">
      <w:start w:val="1"/>
      <w:numFmt w:val="bullet"/>
      <w:lvlText w:val="»"/>
      <w:lvlJc w:val="left"/>
      <w:pPr>
        <w:ind w:left="64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4EAD7ABE"/>
    <w:multiLevelType w:val="hybridMultilevel"/>
    <w:tmpl w:val="82A09A30"/>
    <w:lvl w:ilvl="0" w:tplc="A3880CE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 w:val="0"/>
        <w:i w:val="0"/>
        <w:i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CC685C"/>
    <w:multiLevelType w:val="hybridMultilevel"/>
    <w:tmpl w:val="9B0A5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5334C9"/>
    <w:multiLevelType w:val="hybridMultilevel"/>
    <w:tmpl w:val="97368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9B736F"/>
    <w:multiLevelType w:val="hybridMultilevel"/>
    <w:tmpl w:val="73446358"/>
    <w:lvl w:ilvl="0" w:tplc="52C6F026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88416A1"/>
    <w:multiLevelType w:val="hybridMultilevel"/>
    <w:tmpl w:val="F7F03B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74DC0"/>
    <w:multiLevelType w:val="hybridMultilevel"/>
    <w:tmpl w:val="1894396C"/>
    <w:lvl w:ilvl="0" w:tplc="D0828EB6">
      <w:start w:val="1"/>
      <w:numFmt w:val="bullet"/>
      <w:lvlText w:val="»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5B49462C"/>
    <w:multiLevelType w:val="hybridMultilevel"/>
    <w:tmpl w:val="7428961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5" w15:restartNumberingAfterBreak="0">
    <w:nsid w:val="5CD22804"/>
    <w:multiLevelType w:val="hybridMultilevel"/>
    <w:tmpl w:val="D2D4C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3444C9"/>
    <w:multiLevelType w:val="hybridMultilevel"/>
    <w:tmpl w:val="D680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DF50DF"/>
    <w:multiLevelType w:val="hybridMultilevel"/>
    <w:tmpl w:val="7410F4E4"/>
    <w:lvl w:ilvl="0" w:tplc="D0828EB6">
      <w:start w:val="1"/>
      <w:numFmt w:val="bullet"/>
      <w:lvlText w:val="»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F42243E"/>
    <w:multiLevelType w:val="hybridMultilevel"/>
    <w:tmpl w:val="4DB2087C"/>
    <w:lvl w:ilvl="0" w:tplc="44C24F54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5FDF472A"/>
    <w:multiLevelType w:val="hybridMultilevel"/>
    <w:tmpl w:val="AB0C7E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3841DB6"/>
    <w:multiLevelType w:val="hybridMultilevel"/>
    <w:tmpl w:val="1F488A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904292"/>
    <w:multiLevelType w:val="hybridMultilevel"/>
    <w:tmpl w:val="6656622A"/>
    <w:lvl w:ilvl="0" w:tplc="59AA39FC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8124589"/>
    <w:multiLevelType w:val="hybridMultilevel"/>
    <w:tmpl w:val="AEE4D1E2"/>
    <w:lvl w:ilvl="0" w:tplc="41B631A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BB6750F"/>
    <w:multiLevelType w:val="hybridMultilevel"/>
    <w:tmpl w:val="71100B9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bCs w:val="0"/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6F637C88"/>
    <w:multiLevelType w:val="hybridMultilevel"/>
    <w:tmpl w:val="95FC5792"/>
    <w:lvl w:ilvl="0" w:tplc="44C24F54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F8F09CB"/>
    <w:multiLevelType w:val="hybridMultilevel"/>
    <w:tmpl w:val="A8A66C04"/>
    <w:lvl w:ilvl="0" w:tplc="44C24F54">
      <w:start w:val="1"/>
      <w:numFmt w:val="bullet"/>
      <w:lvlText w:val="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6FE451EF"/>
    <w:multiLevelType w:val="hybridMultilevel"/>
    <w:tmpl w:val="0B82C9C4"/>
    <w:lvl w:ilvl="0" w:tplc="D0828EB6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3375CC1"/>
    <w:multiLevelType w:val="hybridMultilevel"/>
    <w:tmpl w:val="1FD20934"/>
    <w:lvl w:ilvl="0" w:tplc="6C40330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FA94AD6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63054CB"/>
    <w:multiLevelType w:val="hybridMultilevel"/>
    <w:tmpl w:val="42F4D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9F7828"/>
    <w:multiLevelType w:val="hybridMultilevel"/>
    <w:tmpl w:val="D80CE13C"/>
    <w:lvl w:ilvl="0" w:tplc="44C24F54">
      <w:start w:val="1"/>
      <w:numFmt w:val="bullet"/>
      <w:lvlText w:val="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77327941"/>
    <w:multiLevelType w:val="hybridMultilevel"/>
    <w:tmpl w:val="47D87A08"/>
    <w:lvl w:ilvl="0" w:tplc="F14C9A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B4966FD"/>
    <w:multiLevelType w:val="hybridMultilevel"/>
    <w:tmpl w:val="30442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6461E2"/>
    <w:multiLevelType w:val="hybridMultilevel"/>
    <w:tmpl w:val="ECB46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332220">
    <w:abstractNumId w:val="31"/>
  </w:num>
  <w:num w:numId="2" w16cid:durableId="1388912946">
    <w:abstractNumId w:val="34"/>
  </w:num>
  <w:num w:numId="3" w16cid:durableId="1464545142">
    <w:abstractNumId w:val="57"/>
  </w:num>
  <w:num w:numId="4" w16cid:durableId="77529613">
    <w:abstractNumId w:val="49"/>
  </w:num>
  <w:num w:numId="5" w16cid:durableId="1847623538">
    <w:abstractNumId w:val="1"/>
  </w:num>
  <w:num w:numId="6" w16cid:durableId="1503549542">
    <w:abstractNumId w:val="62"/>
  </w:num>
  <w:num w:numId="7" w16cid:durableId="200090993">
    <w:abstractNumId w:val="19"/>
  </w:num>
  <w:num w:numId="8" w16cid:durableId="1635020946">
    <w:abstractNumId w:val="29"/>
  </w:num>
  <w:num w:numId="9" w16cid:durableId="1931545834">
    <w:abstractNumId w:val="30"/>
  </w:num>
  <w:num w:numId="10" w16cid:durableId="1609115776">
    <w:abstractNumId w:val="47"/>
  </w:num>
  <w:num w:numId="11" w16cid:durableId="226654613">
    <w:abstractNumId w:val="38"/>
  </w:num>
  <w:num w:numId="12" w16cid:durableId="1593006729">
    <w:abstractNumId w:val="11"/>
  </w:num>
  <w:num w:numId="13" w16cid:durableId="1930892055">
    <w:abstractNumId w:val="15"/>
  </w:num>
  <w:num w:numId="14" w16cid:durableId="1633831402">
    <w:abstractNumId w:val="39"/>
  </w:num>
  <w:num w:numId="15" w16cid:durableId="1341809476">
    <w:abstractNumId w:val="56"/>
  </w:num>
  <w:num w:numId="16" w16cid:durableId="1940603886">
    <w:abstractNumId w:val="37"/>
  </w:num>
  <w:num w:numId="17" w16cid:durableId="46226114">
    <w:abstractNumId w:val="18"/>
  </w:num>
  <w:num w:numId="18" w16cid:durableId="325474692">
    <w:abstractNumId w:val="43"/>
  </w:num>
  <w:num w:numId="19" w16cid:durableId="341981011">
    <w:abstractNumId w:val="20"/>
  </w:num>
  <w:num w:numId="20" w16cid:durableId="1692025132">
    <w:abstractNumId w:val="58"/>
  </w:num>
  <w:num w:numId="21" w16cid:durableId="674646808">
    <w:abstractNumId w:val="24"/>
  </w:num>
  <w:num w:numId="22" w16cid:durableId="966199221">
    <w:abstractNumId w:val="44"/>
  </w:num>
  <w:num w:numId="23" w16cid:durableId="275060069">
    <w:abstractNumId w:val="0"/>
  </w:num>
  <w:num w:numId="24" w16cid:durableId="639044502">
    <w:abstractNumId w:val="26"/>
  </w:num>
  <w:num w:numId="25" w16cid:durableId="683095829">
    <w:abstractNumId w:val="46"/>
  </w:num>
  <w:num w:numId="26" w16cid:durableId="44835749">
    <w:abstractNumId w:val="21"/>
  </w:num>
  <w:num w:numId="27" w16cid:durableId="1840804403">
    <w:abstractNumId w:val="53"/>
  </w:num>
  <w:num w:numId="28" w16cid:durableId="1204249486">
    <w:abstractNumId w:val="4"/>
  </w:num>
  <w:num w:numId="29" w16cid:durableId="359210786">
    <w:abstractNumId w:val="12"/>
  </w:num>
  <w:num w:numId="30" w16cid:durableId="234246540">
    <w:abstractNumId w:val="51"/>
  </w:num>
  <w:num w:numId="31" w16cid:durableId="846140414">
    <w:abstractNumId w:val="23"/>
  </w:num>
  <w:num w:numId="32" w16cid:durableId="519272692">
    <w:abstractNumId w:val="36"/>
  </w:num>
  <w:num w:numId="33" w16cid:durableId="2102098231">
    <w:abstractNumId w:val="5"/>
  </w:num>
  <w:num w:numId="34" w16cid:durableId="707755535">
    <w:abstractNumId w:val="41"/>
  </w:num>
  <w:num w:numId="35" w16cid:durableId="749884948">
    <w:abstractNumId w:val="2"/>
  </w:num>
  <w:num w:numId="36" w16cid:durableId="1424764538">
    <w:abstractNumId w:val="33"/>
  </w:num>
  <w:num w:numId="37" w16cid:durableId="1395931556">
    <w:abstractNumId w:val="10"/>
  </w:num>
  <w:num w:numId="38" w16cid:durableId="1853959183">
    <w:abstractNumId w:val="52"/>
  </w:num>
  <w:num w:numId="39" w16cid:durableId="1419908024">
    <w:abstractNumId w:val="27"/>
  </w:num>
  <w:num w:numId="40" w16cid:durableId="2118795673">
    <w:abstractNumId w:val="45"/>
  </w:num>
  <w:num w:numId="41" w16cid:durableId="1800341765">
    <w:abstractNumId w:val="35"/>
  </w:num>
  <w:num w:numId="42" w16cid:durableId="1594898719">
    <w:abstractNumId w:val="22"/>
  </w:num>
  <w:num w:numId="43" w16cid:durableId="1232080543">
    <w:abstractNumId w:val="8"/>
  </w:num>
  <w:num w:numId="44" w16cid:durableId="1689209329">
    <w:abstractNumId w:val="28"/>
  </w:num>
  <w:num w:numId="45" w16cid:durableId="2032291454">
    <w:abstractNumId w:val="42"/>
  </w:num>
  <w:num w:numId="46" w16cid:durableId="401027928">
    <w:abstractNumId w:val="32"/>
  </w:num>
  <w:num w:numId="47" w16cid:durableId="987050060">
    <w:abstractNumId w:val="50"/>
  </w:num>
  <w:num w:numId="48" w16cid:durableId="626476304">
    <w:abstractNumId w:val="6"/>
  </w:num>
  <w:num w:numId="49" w16cid:durableId="565729026">
    <w:abstractNumId w:val="17"/>
  </w:num>
  <w:num w:numId="50" w16cid:durableId="1826628166">
    <w:abstractNumId w:val="13"/>
  </w:num>
  <w:num w:numId="51" w16cid:durableId="660085904">
    <w:abstractNumId w:val="3"/>
  </w:num>
  <w:num w:numId="52" w16cid:durableId="1364095654">
    <w:abstractNumId w:val="7"/>
  </w:num>
  <w:num w:numId="53" w16cid:durableId="1165828026">
    <w:abstractNumId w:val="40"/>
  </w:num>
  <w:num w:numId="54" w16cid:durableId="955407116">
    <w:abstractNumId w:val="16"/>
  </w:num>
  <w:num w:numId="55" w16cid:durableId="1595438460">
    <w:abstractNumId w:val="59"/>
  </w:num>
  <w:num w:numId="56" w16cid:durableId="1629580631">
    <w:abstractNumId w:val="60"/>
  </w:num>
  <w:num w:numId="57" w16cid:durableId="166602771">
    <w:abstractNumId w:val="25"/>
  </w:num>
  <w:num w:numId="58" w16cid:durableId="137771418">
    <w:abstractNumId w:val="61"/>
  </w:num>
  <w:num w:numId="59" w16cid:durableId="1025521062">
    <w:abstractNumId w:val="48"/>
  </w:num>
  <w:num w:numId="60" w16cid:durableId="550112712">
    <w:abstractNumId w:val="55"/>
  </w:num>
  <w:num w:numId="61" w16cid:durableId="1052849215">
    <w:abstractNumId w:val="9"/>
  </w:num>
  <w:num w:numId="62" w16cid:durableId="1870142271">
    <w:abstractNumId w:val="54"/>
  </w:num>
  <w:num w:numId="63" w16cid:durableId="1821724087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60"/>
    <w:rsid w:val="00017E8E"/>
    <w:rsid w:val="000268A5"/>
    <w:rsid w:val="00032D4C"/>
    <w:rsid w:val="0003480D"/>
    <w:rsid w:val="00034B07"/>
    <w:rsid w:val="00036459"/>
    <w:rsid w:val="000430D7"/>
    <w:rsid w:val="000525A2"/>
    <w:rsid w:val="00062D6B"/>
    <w:rsid w:val="00064E39"/>
    <w:rsid w:val="00066C83"/>
    <w:rsid w:val="00072737"/>
    <w:rsid w:val="0007741E"/>
    <w:rsid w:val="00084074"/>
    <w:rsid w:val="00093EC5"/>
    <w:rsid w:val="00094658"/>
    <w:rsid w:val="000A0B0B"/>
    <w:rsid w:val="000A3F11"/>
    <w:rsid w:val="000A59EB"/>
    <w:rsid w:val="000A72BA"/>
    <w:rsid w:val="000B0012"/>
    <w:rsid w:val="000B13F8"/>
    <w:rsid w:val="000B3332"/>
    <w:rsid w:val="000B5A29"/>
    <w:rsid w:val="000B6C6A"/>
    <w:rsid w:val="000C41B5"/>
    <w:rsid w:val="000C4555"/>
    <w:rsid w:val="000C5CA9"/>
    <w:rsid w:val="000D1D4A"/>
    <w:rsid w:val="000E38DF"/>
    <w:rsid w:val="000F00A8"/>
    <w:rsid w:val="000F1AF4"/>
    <w:rsid w:val="001027C0"/>
    <w:rsid w:val="00115EDE"/>
    <w:rsid w:val="00126748"/>
    <w:rsid w:val="001302C5"/>
    <w:rsid w:val="00134565"/>
    <w:rsid w:val="00152BCD"/>
    <w:rsid w:val="00153C90"/>
    <w:rsid w:val="00156EC8"/>
    <w:rsid w:val="00160078"/>
    <w:rsid w:val="0016463C"/>
    <w:rsid w:val="001717B3"/>
    <w:rsid w:val="001826E7"/>
    <w:rsid w:val="001905BB"/>
    <w:rsid w:val="00194EDC"/>
    <w:rsid w:val="00196360"/>
    <w:rsid w:val="001974BA"/>
    <w:rsid w:val="001A0006"/>
    <w:rsid w:val="001A7FA6"/>
    <w:rsid w:val="001B1CD1"/>
    <w:rsid w:val="001B3169"/>
    <w:rsid w:val="001B691E"/>
    <w:rsid w:val="001C49BC"/>
    <w:rsid w:val="001C6ACB"/>
    <w:rsid w:val="001D0528"/>
    <w:rsid w:val="001F1BA3"/>
    <w:rsid w:val="001F3761"/>
    <w:rsid w:val="00202A91"/>
    <w:rsid w:val="00205BEC"/>
    <w:rsid w:val="00215A8B"/>
    <w:rsid w:val="00215C3D"/>
    <w:rsid w:val="0023396D"/>
    <w:rsid w:val="002479AA"/>
    <w:rsid w:val="002512D4"/>
    <w:rsid w:val="00256F9D"/>
    <w:rsid w:val="002607DE"/>
    <w:rsid w:val="0027197B"/>
    <w:rsid w:val="002774A4"/>
    <w:rsid w:val="002A0AAB"/>
    <w:rsid w:val="002A30DA"/>
    <w:rsid w:val="002A401C"/>
    <w:rsid w:val="002A4D70"/>
    <w:rsid w:val="002B4D2C"/>
    <w:rsid w:val="002C21CC"/>
    <w:rsid w:val="002C57CA"/>
    <w:rsid w:val="002E1662"/>
    <w:rsid w:val="002F4483"/>
    <w:rsid w:val="00302743"/>
    <w:rsid w:val="00303BB4"/>
    <w:rsid w:val="00303CBB"/>
    <w:rsid w:val="00304B58"/>
    <w:rsid w:val="00307CCD"/>
    <w:rsid w:val="00315518"/>
    <w:rsid w:val="003159CC"/>
    <w:rsid w:val="00356EEF"/>
    <w:rsid w:val="003571D3"/>
    <w:rsid w:val="00365EC3"/>
    <w:rsid w:val="00370333"/>
    <w:rsid w:val="00370F5F"/>
    <w:rsid w:val="00374059"/>
    <w:rsid w:val="003812A4"/>
    <w:rsid w:val="0038429B"/>
    <w:rsid w:val="0038786B"/>
    <w:rsid w:val="003936FF"/>
    <w:rsid w:val="00396545"/>
    <w:rsid w:val="003A15A1"/>
    <w:rsid w:val="003A5C2A"/>
    <w:rsid w:val="003A791C"/>
    <w:rsid w:val="003B03E8"/>
    <w:rsid w:val="003B12DD"/>
    <w:rsid w:val="003B2713"/>
    <w:rsid w:val="003C5504"/>
    <w:rsid w:val="003D1D5E"/>
    <w:rsid w:val="003D64BA"/>
    <w:rsid w:val="003D774E"/>
    <w:rsid w:val="003F196D"/>
    <w:rsid w:val="003F73BF"/>
    <w:rsid w:val="0040564F"/>
    <w:rsid w:val="00410BF8"/>
    <w:rsid w:val="004128E9"/>
    <w:rsid w:val="004157D3"/>
    <w:rsid w:val="004163E5"/>
    <w:rsid w:val="00424004"/>
    <w:rsid w:val="00426C22"/>
    <w:rsid w:val="00430EF9"/>
    <w:rsid w:val="0043125E"/>
    <w:rsid w:val="0044163C"/>
    <w:rsid w:val="00475D59"/>
    <w:rsid w:val="0047767E"/>
    <w:rsid w:val="00483FED"/>
    <w:rsid w:val="00496585"/>
    <w:rsid w:val="004A452E"/>
    <w:rsid w:val="004B6434"/>
    <w:rsid w:val="004D042D"/>
    <w:rsid w:val="004D1369"/>
    <w:rsid w:val="004E142D"/>
    <w:rsid w:val="004E31B3"/>
    <w:rsid w:val="004E42DF"/>
    <w:rsid w:val="004E450F"/>
    <w:rsid w:val="00513C00"/>
    <w:rsid w:val="00521AAA"/>
    <w:rsid w:val="00522AAA"/>
    <w:rsid w:val="005379FA"/>
    <w:rsid w:val="00541CA1"/>
    <w:rsid w:val="00541DC2"/>
    <w:rsid w:val="00543B45"/>
    <w:rsid w:val="0055023E"/>
    <w:rsid w:val="00562444"/>
    <w:rsid w:val="005645A8"/>
    <w:rsid w:val="00564A4F"/>
    <w:rsid w:val="005650E0"/>
    <w:rsid w:val="005779CF"/>
    <w:rsid w:val="00580093"/>
    <w:rsid w:val="005919EE"/>
    <w:rsid w:val="005947EE"/>
    <w:rsid w:val="005A61D0"/>
    <w:rsid w:val="005A7358"/>
    <w:rsid w:val="005B4E03"/>
    <w:rsid w:val="005C3A48"/>
    <w:rsid w:val="005D7005"/>
    <w:rsid w:val="005F2C34"/>
    <w:rsid w:val="005F3032"/>
    <w:rsid w:val="00612AF3"/>
    <w:rsid w:val="00614F97"/>
    <w:rsid w:val="006413A3"/>
    <w:rsid w:val="00642089"/>
    <w:rsid w:val="0065642D"/>
    <w:rsid w:val="006577F3"/>
    <w:rsid w:val="006662E9"/>
    <w:rsid w:val="0066742A"/>
    <w:rsid w:val="00671277"/>
    <w:rsid w:val="00672D7E"/>
    <w:rsid w:val="00677351"/>
    <w:rsid w:val="00681A97"/>
    <w:rsid w:val="006837EC"/>
    <w:rsid w:val="00687779"/>
    <w:rsid w:val="00695511"/>
    <w:rsid w:val="006A44B1"/>
    <w:rsid w:val="006A4C9C"/>
    <w:rsid w:val="006A730A"/>
    <w:rsid w:val="006B0E81"/>
    <w:rsid w:val="006B3340"/>
    <w:rsid w:val="006D38FE"/>
    <w:rsid w:val="006D515B"/>
    <w:rsid w:val="006F075B"/>
    <w:rsid w:val="00700C18"/>
    <w:rsid w:val="0071716D"/>
    <w:rsid w:val="00717FCD"/>
    <w:rsid w:val="00724AF4"/>
    <w:rsid w:val="00725843"/>
    <w:rsid w:val="00732BEC"/>
    <w:rsid w:val="00741A36"/>
    <w:rsid w:val="00764A5C"/>
    <w:rsid w:val="0076573B"/>
    <w:rsid w:val="0078008C"/>
    <w:rsid w:val="007A6DE1"/>
    <w:rsid w:val="007C1C95"/>
    <w:rsid w:val="007C515A"/>
    <w:rsid w:val="007E3D34"/>
    <w:rsid w:val="007F2F31"/>
    <w:rsid w:val="0080152D"/>
    <w:rsid w:val="00817338"/>
    <w:rsid w:val="00821583"/>
    <w:rsid w:val="00832B3E"/>
    <w:rsid w:val="00840A93"/>
    <w:rsid w:val="00843567"/>
    <w:rsid w:val="00854B60"/>
    <w:rsid w:val="00861F1A"/>
    <w:rsid w:val="008637EA"/>
    <w:rsid w:val="00866C9F"/>
    <w:rsid w:val="0087163B"/>
    <w:rsid w:val="00881FB4"/>
    <w:rsid w:val="008843B0"/>
    <w:rsid w:val="00887E42"/>
    <w:rsid w:val="0089524F"/>
    <w:rsid w:val="008A7402"/>
    <w:rsid w:val="008B413D"/>
    <w:rsid w:val="008C2FC1"/>
    <w:rsid w:val="008C734C"/>
    <w:rsid w:val="008D1279"/>
    <w:rsid w:val="008D5613"/>
    <w:rsid w:val="008E00ED"/>
    <w:rsid w:val="008E02F4"/>
    <w:rsid w:val="008F1AD3"/>
    <w:rsid w:val="008F2C60"/>
    <w:rsid w:val="008F57B2"/>
    <w:rsid w:val="008F6C69"/>
    <w:rsid w:val="008F7D24"/>
    <w:rsid w:val="00910B82"/>
    <w:rsid w:val="0091120B"/>
    <w:rsid w:val="00917A7B"/>
    <w:rsid w:val="00923278"/>
    <w:rsid w:val="00930792"/>
    <w:rsid w:val="0094389B"/>
    <w:rsid w:val="00951209"/>
    <w:rsid w:val="009678F2"/>
    <w:rsid w:val="009774C8"/>
    <w:rsid w:val="00995281"/>
    <w:rsid w:val="009A2175"/>
    <w:rsid w:val="009A22A7"/>
    <w:rsid w:val="009A3717"/>
    <w:rsid w:val="009A5540"/>
    <w:rsid w:val="009A7A63"/>
    <w:rsid w:val="009C4213"/>
    <w:rsid w:val="009C6307"/>
    <w:rsid w:val="009D5C53"/>
    <w:rsid w:val="009E3E42"/>
    <w:rsid w:val="009E482B"/>
    <w:rsid w:val="009F69AC"/>
    <w:rsid w:val="00A0126E"/>
    <w:rsid w:val="00A03CC7"/>
    <w:rsid w:val="00A13B39"/>
    <w:rsid w:val="00A168A3"/>
    <w:rsid w:val="00A179DD"/>
    <w:rsid w:val="00A2578C"/>
    <w:rsid w:val="00A37F85"/>
    <w:rsid w:val="00A415ED"/>
    <w:rsid w:val="00A416F3"/>
    <w:rsid w:val="00A505BC"/>
    <w:rsid w:val="00A60CF6"/>
    <w:rsid w:val="00A77F6D"/>
    <w:rsid w:val="00A91939"/>
    <w:rsid w:val="00A93A37"/>
    <w:rsid w:val="00A95996"/>
    <w:rsid w:val="00A96414"/>
    <w:rsid w:val="00AA2ADF"/>
    <w:rsid w:val="00AA5131"/>
    <w:rsid w:val="00AB438B"/>
    <w:rsid w:val="00AD37FC"/>
    <w:rsid w:val="00AD534A"/>
    <w:rsid w:val="00AD647D"/>
    <w:rsid w:val="00AF1346"/>
    <w:rsid w:val="00B0203D"/>
    <w:rsid w:val="00B16B36"/>
    <w:rsid w:val="00B178B3"/>
    <w:rsid w:val="00B20487"/>
    <w:rsid w:val="00B35E03"/>
    <w:rsid w:val="00B376BA"/>
    <w:rsid w:val="00B76994"/>
    <w:rsid w:val="00B80DFE"/>
    <w:rsid w:val="00B8132E"/>
    <w:rsid w:val="00B96E22"/>
    <w:rsid w:val="00B97082"/>
    <w:rsid w:val="00BA044F"/>
    <w:rsid w:val="00BA0EB6"/>
    <w:rsid w:val="00BA62C6"/>
    <w:rsid w:val="00BB124F"/>
    <w:rsid w:val="00BB1504"/>
    <w:rsid w:val="00BB2BD2"/>
    <w:rsid w:val="00BB5B6D"/>
    <w:rsid w:val="00BB5F82"/>
    <w:rsid w:val="00BC1A8D"/>
    <w:rsid w:val="00BC563E"/>
    <w:rsid w:val="00BE09DD"/>
    <w:rsid w:val="00BE3A82"/>
    <w:rsid w:val="00C00A0D"/>
    <w:rsid w:val="00C1090A"/>
    <w:rsid w:val="00C25D8A"/>
    <w:rsid w:val="00C52381"/>
    <w:rsid w:val="00C55244"/>
    <w:rsid w:val="00C623D0"/>
    <w:rsid w:val="00C63D2A"/>
    <w:rsid w:val="00C70AF7"/>
    <w:rsid w:val="00C7269A"/>
    <w:rsid w:val="00C73B16"/>
    <w:rsid w:val="00C8097A"/>
    <w:rsid w:val="00C90BFF"/>
    <w:rsid w:val="00C93F90"/>
    <w:rsid w:val="00C9649E"/>
    <w:rsid w:val="00CA1FC5"/>
    <w:rsid w:val="00CB2754"/>
    <w:rsid w:val="00CC2F96"/>
    <w:rsid w:val="00CD2973"/>
    <w:rsid w:val="00CD44E5"/>
    <w:rsid w:val="00CE70EC"/>
    <w:rsid w:val="00CF7037"/>
    <w:rsid w:val="00D01A7A"/>
    <w:rsid w:val="00D0403A"/>
    <w:rsid w:val="00D110EA"/>
    <w:rsid w:val="00D15CFB"/>
    <w:rsid w:val="00D23EF2"/>
    <w:rsid w:val="00D4334A"/>
    <w:rsid w:val="00D44F76"/>
    <w:rsid w:val="00D4601B"/>
    <w:rsid w:val="00D4642C"/>
    <w:rsid w:val="00D663D6"/>
    <w:rsid w:val="00D75FF7"/>
    <w:rsid w:val="00D80DE1"/>
    <w:rsid w:val="00D8239E"/>
    <w:rsid w:val="00D91DA3"/>
    <w:rsid w:val="00DA1EED"/>
    <w:rsid w:val="00DB6416"/>
    <w:rsid w:val="00DC542A"/>
    <w:rsid w:val="00DD6714"/>
    <w:rsid w:val="00DE1F03"/>
    <w:rsid w:val="00DF7DFC"/>
    <w:rsid w:val="00E02595"/>
    <w:rsid w:val="00E058D0"/>
    <w:rsid w:val="00E101AF"/>
    <w:rsid w:val="00E11863"/>
    <w:rsid w:val="00E141AA"/>
    <w:rsid w:val="00E22957"/>
    <w:rsid w:val="00E23819"/>
    <w:rsid w:val="00E25C26"/>
    <w:rsid w:val="00E325CE"/>
    <w:rsid w:val="00E41181"/>
    <w:rsid w:val="00E42008"/>
    <w:rsid w:val="00E44832"/>
    <w:rsid w:val="00E46397"/>
    <w:rsid w:val="00E529A6"/>
    <w:rsid w:val="00E557B1"/>
    <w:rsid w:val="00E66D02"/>
    <w:rsid w:val="00E741DC"/>
    <w:rsid w:val="00E879C6"/>
    <w:rsid w:val="00E94D93"/>
    <w:rsid w:val="00EA49DD"/>
    <w:rsid w:val="00EA7943"/>
    <w:rsid w:val="00EC45B1"/>
    <w:rsid w:val="00EC65B0"/>
    <w:rsid w:val="00ED6D96"/>
    <w:rsid w:val="00EE0D8A"/>
    <w:rsid w:val="00EE3EA1"/>
    <w:rsid w:val="00EE555B"/>
    <w:rsid w:val="00F02AB7"/>
    <w:rsid w:val="00F04F7C"/>
    <w:rsid w:val="00F06DA4"/>
    <w:rsid w:val="00F13E11"/>
    <w:rsid w:val="00F16652"/>
    <w:rsid w:val="00F241B7"/>
    <w:rsid w:val="00F37F03"/>
    <w:rsid w:val="00F41252"/>
    <w:rsid w:val="00F4520C"/>
    <w:rsid w:val="00F46DF1"/>
    <w:rsid w:val="00F521D3"/>
    <w:rsid w:val="00F533F9"/>
    <w:rsid w:val="00F71E72"/>
    <w:rsid w:val="00F901FA"/>
    <w:rsid w:val="00FA1F37"/>
    <w:rsid w:val="00FC60DE"/>
    <w:rsid w:val="00FD241A"/>
    <w:rsid w:val="00FD2AAF"/>
    <w:rsid w:val="00FD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468C3"/>
  <w15:chartTrackingRefBased/>
  <w15:docId w15:val="{78B9A092-D163-45AC-B2C8-88CB5B6B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4A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apple-tab-span">
    <w:name w:val="apple-tab-span"/>
    <w:basedOn w:val="DefaultParagraphFont"/>
    <w:rsid w:val="00A93A37"/>
  </w:style>
  <w:style w:type="paragraph" w:styleId="ListParagraph">
    <w:name w:val="List Paragraph"/>
    <w:aliases w:val="Normal bullet 2,lp1,Heading x1,Header bold,body 2,Lista 1,lp11,Lettre d'introduction,1st level - Bullet List Paragraph,Paragrafo elenco,List Paragraph11,Antes de enumeración,Akapit z listą BS,Outlines a.b.c.,List_Paragraph,Recommendation"/>
    <w:basedOn w:val="Normal"/>
    <w:link w:val="ListParagraphChar"/>
    <w:uiPriority w:val="34"/>
    <w:qFormat/>
    <w:rsid w:val="00E463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ADF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AA2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ADF"/>
    <w:rPr>
      <w:lang w:val="ro-RO"/>
    </w:rPr>
  </w:style>
  <w:style w:type="paragraph" w:customStyle="1" w:styleId="Default">
    <w:name w:val="Default"/>
    <w:rsid w:val="00866C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64A5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o-RO"/>
    </w:rPr>
  </w:style>
  <w:style w:type="character" w:styleId="Hyperlink">
    <w:name w:val="Hyperlink"/>
    <w:basedOn w:val="DefaultParagraphFont"/>
    <w:uiPriority w:val="99"/>
    <w:unhideWhenUsed/>
    <w:rsid w:val="005A7358"/>
    <w:rPr>
      <w:color w:val="0563C1" w:themeColor="hyperlink"/>
      <w:u w:val="single"/>
    </w:rPr>
  </w:style>
  <w:style w:type="character" w:customStyle="1" w:styleId="ListParagraphChar">
    <w:name w:val="List Paragraph Char"/>
    <w:aliases w:val="Normal bullet 2 Char,lp1 Char,Heading x1 Char,Header bold Char,body 2 Char,Lista 1 Char,lp11 Char,Lettre d'introduction Char,1st level - Bullet List Paragraph Char,Paragrafo elenco Char,List Paragraph11 Char,Antes de enumeración Char"/>
    <w:link w:val="ListParagraph"/>
    <w:uiPriority w:val="34"/>
    <w:qFormat/>
    <w:locked/>
    <w:rsid w:val="007F2F31"/>
    <w:rPr>
      <w:lang w:val="ro-RO"/>
    </w:rPr>
  </w:style>
  <w:style w:type="table" w:styleId="TableGrid">
    <w:name w:val="Table Grid"/>
    <w:basedOn w:val="TableNormal"/>
    <w:uiPriority w:val="39"/>
    <w:rsid w:val="007E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A554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A55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540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9A5540"/>
    <w:rPr>
      <w:vertAlign w:val="superscript"/>
    </w:rPr>
  </w:style>
  <w:style w:type="table" w:customStyle="1" w:styleId="TableGrid0">
    <w:name w:val="TableGrid"/>
    <w:rsid w:val="00E879C6"/>
    <w:pPr>
      <w:spacing w:after="0" w:line="240" w:lineRule="auto"/>
    </w:pPr>
    <w:rPr>
      <w:rFonts w:eastAsiaTheme="minorEastAsia"/>
      <w:kern w:val="0"/>
      <w:lang w:val="en-GB"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Light">
    <w:name w:val="Grid Table Light"/>
    <w:basedOn w:val="TableNormal"/>
    <w:uiPriority w:val="40"/>
    <w:rsid w:val="00E879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B13F8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D464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6712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6712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E70EC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CE70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0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0EC"/>
    <w:rPr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2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6D528-CC8F-472D-9503-2F8653B19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6</Pages>
  <Words>2146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Kisgyorgy</dc:creator>
  <cp:keywords/>
  <dc:description/>
  <cp:lastModifiedBy>Beata Kisgyorgy</cp:lastModifiedBy>
  <cp:revision>1</cp:revision>
  <cp:lastPrinted>2023-02-28T09:41:00Z</cp:lastPrinted>
  <dcterms:created xsi:type="dcterms:W3CDTF">2024-07-04T11:19:00Z</dcterms:created>
  <dcterms:modified xsi:type="dcterms:W3CDTF">2025-09-04T08:35:00Z</dcterms:modified>
</cp:coreProperties>
</file>